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ind w:left="1040"/>
        <w:spacing w:line="360" w:lineRule="auto"/>
        <w:rPr>
          <w:rFonts w:hint="eastAsia" w:ascii="宋体" w:hAnsi="宋体" w:eastAsia="宋体"/>
          <w:b/>
          <w:color w:val="auto"/>
          <w:spacing w:val="-6"/>
          <w:sz w:val="32"/>
          <w:szCs w:val="22"/>
          <w:highlight w:val="none"/>
          <w:lang w:eastAsia="zh-CN"/>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szCs w:val="22"/>
          <w:highlight w:val="none"/>
        </w:rPr>
        <w:t xml:space="preserve">：</w:t>
      </w:r>
      <w:bookmarkStart w:id="52" w:name="_GoBack"/>
      <w:r/>
      <w:bookmarkEnd w:id="52"/>
      <w:r>
        <w:rPr>
          <w:rFonts w:hint="eastAsia" w:ascii="宋体" w:hAnsi="宋体" w:eastAsia="宋体"/>
          <w:b/>
          <w:color w:val="auto"/>
          <w:spacing w:val="-6"/>
          <w:sz w:val="32"/>
          <w:szCs w:val="22"/>
          <w:highlight w:val="none"/>
          <w:lang w:eastAsia="zh-CN"/>
        </w:rPr>
        <w:t xml:space="preserve">JSZC-320500-SZCH-C2026-0001</w:t>
      </w:r>
      <w:r/>
    </w:p>
    <w:p>
      <w:pPr>
        <w:ind w:left="1040"/>
        <w:spacing w:line="360" w:lineRule="auto"/>
        <w:rPr>
          <w:rFonts w:hint="eastAsia" w:ascii="宋体" w:hAnsi="宋体" w:eastAsia="宋体"/>
          <w:b/>
          <w:color w:val="auto"/>
          <w:spacing w:val="-6"/>
          <w:sz w:val="32"/>
          <w:highlight w:val="none"/>
          <w:lang w:eastAsia="zh-CN"/>
        </w:rPr>
      </w:pPr>
      <w:r>
        <w:rPr>
          <w:rFonts w:hint="eastAsia" w:ascii="宋体" w:hAnsi="宋体" w:eastAsia="宋体"/>
          <w:b/>
          <w:color w:val="auto"/>
          <w:spacing w:val="-6"/>
          <w:sz w:val="32"/>
          <w:highlight w:val="none"/>
        </w:rPr>
        <w:t xml:space="preserve">采 购 人：</w:t>
      </w:r>
      <w:r>
        <w:rPr>
          <w:rFonts w:hint="eastAsia" w:ascii="宋体" w:hAnsi="宋体" w:eastAsia="宋体"/>
          <w:b/>
          <w:color w:val="auto"/>
          <w:spacing w:val="-6"/>
          <w:sz w:val="32"/>
          <w:highlight w:val="none"/>
          <w:lang w:eastAsia="zh-CN"/>
        </w:rPr>
        <w:t xml:space="preserve">苏州市生态环境局</w:t>
      </w:r>
      <w:r/>
    </w:p>
    <w:p>
      <w:pPr>
        <w:ind w:left="1040"/>
        <w:spacing w:line="360" w:lineRule="auto"/>
        <w:rPr>
          <w:rFonts w:hint="eastAsia" w:ascii="宋体" w:hAnsi="宋体" w:eastAsia="宋体" w:cs="宋体"/>
          <w:b/>
          <w:color w:val="auto"/>
          <w:spacing w:val="-6"/>
          <w:sz w:val="32"/>
          <w:highlight w:val="none"/>
          <w:lang w:eastAsia="zh-CN"/>
        </w:rPr>
      </w:pPr>
      <w:r>
        <w:rPr>
          <w:rFonts w:hint="eastAsia" w:ascii="宋体" w:hAnsi="宋体" w:eastAsia="宋体"/>
          <w:b/>
          <w:color w:val="auto"/>
          <w:spacing w:val="-6"/>
          <w:sz w:val="32"/>
          <w:highlight w:val="none"/>
        </w:rPr>
        <w:t xml:space="preserve">采购内容：</w:t>
      </w:r>
      <w:r>
        <w:rPr>
          <w:rFonts w:hint="eastAsia" w:ascii="宋体" w:hAnsi="宋体" w:eastAsia="宋体" w:cs="宋体"/>
          <w:b/>
          <w:color w:val="auto"/>
          <w:spacing w:val="-6"/>
          <w:sz w:val="32"/>
          <w:highlight w:val="none"/>
          <w:lang w:eastAsia="zh-CN"/>
        </w:rPr>
        <w:t xml:space="preserve">2026年太湖水源地自动站运维及重点湖泊水质</w:t>
      </w:r>
      <w:r/>
    </w:p>
    <w:p>
      <w:pPr>
        <w:ind w:left="1040" w:firstLine="1546"/>
        <w:spacing w:line="360" w:lineRule="auto"/>
        <w:rPr>
          <w:rFonts w:hint="eastAsia" w:ascii="宋体" w:hAnsi="宋体" w:eastAsia="宋体"/>
          <w:b/>
          <w:color w:val="auto"/>
          <w:spacing w:val="-6"/>
          <w:sz w:val="32"/>
          <w:highlight w:val="none"/>
        </w:rPr>
      </w:pPr>
      <w:r>
        <w:rPr>
          <w:rFonts w:hint="eastAsia" w:ascii="宋体" w:hAnsi="宋体" w:eastAsia="宋体" w:cs="宋体"/>
          <w:b/>
          <w:color w:val="auto"/>
          <w:spacing w:val="-6"/>
          <w:sz w:val="32"/>
          <w:highlight w:val="none"/>
          <w:lang w:eastAsia="zh-CN"/>
        </w:rPr>
        <w:t xml:space="preserve">藻情数据处理服务</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苏州诚和招投标咨询有限公司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二○二</w:t>
      </w:r>
      <w:r>
        <w:rPr>
          <w:rFonts w:hint="eastAsia" w:ascii="宋体" w:hAnsi="宋体" w:eastAsia="宋体"/>
          <w:b/>
          <w:color w:val="auto"/>
          <w:sz w:val="32"/>
          <w:highlight w:val="none"/>
          <w:lang w:val="en-US" w:eastAsia="zh-CN"/>
        </w:rPr>
        <w:t xml:space="preserve">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一</w:t>
      </w:r>
      <w:r>
        <w:rPr>
          <w:rFonts w:hint="eastAsia" w:ascii="宋体" w:hAnsi="宋体" w:eastAsia="宋体"/>
          <w:b/>
          <w:color w:val="auto"/>
          <w:sz w:val="32"/>
          <w:highlight w:val="none"/>
        </w:rPr>
        <w:t xml:space="preserve">月</w:t>
      </w:r>
      <w:r/>
    </w:p>
    <w:p>
      <w:pPr>
        <w:jc w:val="center"/>
        <w:spacing w:line="360" w:lineRule="auto"/>
        <w:rPr>
          <w:rFonts w:hint="eastAsia" w:ascii="宋体" w:hAnsi="宋体" w:eastAsia="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color w:val="auto"/>
          <w:sz w:val="30"/>
          <w:szCs w:val="30"/>
          <w:highlight w:val="none"/>
        </w:rPr>
      </w:r>
      <w:r/>
    </w:p>
    <w:p>
      <w:pPr>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前附表</w:t>
      </w:r>
      <w:r/>
    </w:p>
    <w:tbl>
      <w:tblPr>
        <w:tblStyle w:val="950"/>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9007" w:type="dxa"/>
            <w:vAlign w:val="bottom"/>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2026年太湖水源地自动站运维及重点湖泊水质藻情数据处理服务</w:t>
            </w:r>
            <w:bookmarkEnd w:id="0"/>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有效期：自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2026年1月26日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w:t>
            </w:r>
            <w:r>
              <w:rPr>
                <w:rFonts w:hint="eastAsia" w:ascii="宋体" w:hAnsi="宋体" w:eastAsia="宋体" w:cs="宋体"/>
                <w:color w:val="auto"/>
                <w:sz w:val="24"/>
                <w:szCs w:val="24"/>
                <w:highlight w:val="none"/>
                <w:lang w:eastAsia="zh-CN"/>
              </w:rPr>
              <w:t xml:space="preserve">2026年1月26日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968"/>
                <w:rFonts w:hint="eastAsia" w:ascii="宋体" w:hAnsi="宋体" w:eastAsia="宋体" w:cs="宋体"/>
                <w:color w:val="auto"/>
                <w:sz w:val="24"/>
                <w:szCs w:val="24"/>
                <w:highlight w:val="none"/>
              </w:rPr>
              <w:t xml:space="preserve">http://jszfcg.jsczt.cn/</w:t>
            </w:r>
            <w:r>
              <w:rPr>
                <w:rStyle w:val="968"/>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64"/>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代理服务费收费标准：代理服务费收费按以下标准的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%收取：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w:t>
            </w:r>
            <w:r>
              <w:rPr>
                <w:rFonts w:hint="eastAsia" w:ascii="宋体" w:hAnsi="宋体" w:eastAsia="宋体" w:cs="宋体"/>
                <w:bCs/>
                <w:color w:val="auto"/>
                <w:sz w:val="24"/>
                <w:szCs w:val="24"/>
                <w:highlight w:val="none"/>
                <w:lang w:eastAsia="zh-CN"/>
              </w:rPr>
              <w:t xml:space="preserve">中标（成交）通知书</w:t>
            </w:r>
            <w:r>
              <w:rPr>
                <w:rFonts w:hint="eastAsia" w:ascii="宋体" w:hAnsi="宋体" w:eastAsia="宋体" w:cs="宋体"/>
                <w:bCs/>
                <w:color w:val="auto"/>
                <w:sz w:val="24"/>
                <w:szCs w:val="24"/>
                <w:highlight w:val="none"/>
              </w:rPr>
              <w:t xml:space="preserve">时</w:t>
            </w:r>
            <w:r>
              <w:rPr>
                <w:rFonts w:hint="eastAsia" w:ascii="宋体" w:hAnsi="宋体" w:eastAsia="宋体" w:cs="宋体"/>
                <w:bCs/>
                <w:color w:val="auto"/>
                <w:sz w:val="24"/>
                <w:szCs w:val="24"/>
                <w:highlight w:val="none"/>
                <w:lang w:eastAsia="zh-CN"/>
              </w:rPr>
              <w:t xml:space="preserve">中标（成交）人</w:t>
            </w:r>
            <w:r>
              <w:rPr>
                <w:rFonts w:hint="eastAsia" w:ascii="宋体" w:hAnsi="宋体" w:eastAsia="宋体" w:cs="宋体"/>
                <w:bCs/>
                <w:color w:val="auto"/>
                <w:sz w:val="24"/>
                <w:szCs w:val="24"/>
                <w:highlight w:val="none"/>
              </w:rPr>
              <w:t xml:space="preserve">向采购代理机构一次性付清。</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服务费账号：8314122601346</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账户名：苏州诚和招投标咨询有限公司</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苏州市政府采购管理监督电话：0512-68616651</w:t>
            </w:r>
            <w:r/>
          </w:p>
        </w:tc>
      </w:tr>
    </w:tbl>
    <w:p>
      <w:pPr>
        <w:jc w:val="center"/>
        <w:spacing w:line="360" w:lineRule="auto"/>
        <w:rPr>
          <w:rFonts w:hint="eastAsia" w:ascii="宋体" w:hAnsi="宋体" w:eastAsia="宋体"/>
          <w:b/>
          <w:color w:val="auto"/>
          <w:sz w:val="48"/>
          <w:szCs w:val="48"/>
          <w:highlight w:val="none"/>
        </w:rPr>
      </w:pPr>
      <w:r>
        <w:rPr>
          <w:rFonts w:ascii="宋体" w:hAnsi="宋体" w:eastAsia="宋体"/>
          <w:color w:val="auto"/>
          <w:sz w:val="48"/>
          <w:szCs w:val="48"/>
          <w:highlight w:val="none"/>
        </w:rPr>
        <w:br w:type="page" w:clear="all"/>
      </w:r>
      <w:r>
        <w:rPr>
          <w:rFonts w:hint="eastAsia" w:ascii="宋体" w:hAnsi="宋体" w:eastAsia="宋体"/>
          <w:b/>
          <w:color w:val="auto"/>
          <w:sz w:val="48"/>
          <w:szCs w:val="48"/>
          <w:highlight w:val="none"/>
        </w:rPr>
        <w:t xml:space="preserve">总目录</w:t>
      </w:r>
      <w:r/>
    </w:p>
    <w:p>
      <w:pPr>
        <w:pStyle w:val="962"/>
        <w:tabs>
          <w:tab w:val="right" w:pos="8754" w:leader="dot"/>
        </w:tabs>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"1-1" </w:instrText>
      </w:r>
      <w:r>
        <w:rPr>
          <w:rFonts w:ascii="宋体" w:hAnsi="宋体" w:eastAsia="宋体"/>
          <w:b/>
          <w:bCs/>
          <w:color w:val="auto"/>
          <w:szCs w:val="24"/>
          <w:highlight w:val="none"/>
        </w:rPr>
        <w:fldChar w:fldCharType="separate"/>
      </w:r>
      <w:r>
        <w:rPr>
          <w:rFonts w:hint="eastAsia" w:ascii="宋体" w:hAnsi="宋体" w:eastAsia="宋体"/>
          <w:color w:val="auto"/>
          <w:highlight w:val="none"/>
        </w:rPr>
        <w:t xml:space="preserve">第一章</w:t>
      </w:r>
      <w:r>
        <w:rPr>
          <w:rFonts w:ascii="宋体" w:hAnsi="宋体" w:eastAsia="宋体"/>
          <w:color w:val="auto"/>
          <w:highlight w:val="none"/>
        </w:rPr>
        <w:t xml:space="preserve"> </w:t>
      </w:r>
      <w:r>
        <w:rPr>
          <w:rFonts w:hint="eastAsia" w:ascii="宋体" w:hAnsi="宋体" w:eastAsia="宋体"/>
          <w:color w:val="auto"/>
          <w:highlight w:val="none"/>
          <w:lang w:eastAsia="zh-CN"/>
        </w:rPr>
        <w:t xml:space="preserve">采购公告</w:t>
      </w:r>
      <w:r>
        <w:tab/>
      </w:r>
      <w:r>
        <w:fldChar w:fldCharType="begin"/>
      </w:r>
      <w:r>
        <w:instrText xml:space="preserve"> PAGEREF _Toc6164 \h </w:instrText>
      </w:r>
      <w:r>
        <w:fldChar w:fldCharType="separate"/>
      </w:r>
      <w:r>
        <w:t xml:space="preserve">3</w:t>
      </w:r>
      <w:r>
        <w:fldChar w:fldCharType="end"/>
      </w:r>
      <w:r/>
    </w:p>
    <w:p>
      <w:pPr>
        <w:pStyle w:val="962"/>
        <w:tabs>
          <w:tab w:val="right" w:pos="8754" w:leader="dot"/>
        </w:tabs>
      </w:pPr>
      <w:r>
        <w:rPr>
          <w:rFonts w:hint="eastAsia" w:ascii="宋体" w:hAnsi="宋体" w:eastAsia="宋体"/>
          <w:color w:val="auto"/>
          <w:highlight w:val="none"/>
        </w:rPr>
        <w:t xml:space="preserve">第二章 供应商须知</w:t>
      </w:r>
      <w:r>
        <w:tab/>
      </w:r>
      <w:r>
        <w:fldChar w:fldCharType="begin"/>
      </w:r>
      <w:r>
        <w:instrText xml:space="preserve"> PAGEREF _Toc29079 \h </w:instrText>
      </w:r>
      <w:r>
        <w:fldChar w:fldCharType="separate"/>
      </w:r>
      <w:r>
        <w:t xml:space="preserve">9</w:t>
      </w:r>
      <w:r>
        <w:fldChar w:fldCharType="end"/>
      </w:r>
      <w:r/>
    </w:p>
    <w:p>
      <w:pPr>
        <w:pStyle w:val="962"/>
        <w:tabs>
          <w:tab w:val="right" w:pos="8754" w:leader="dot"/>
        </w:tabs>
      </w:pP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lang w:eastAsia="zh-CN"/>
        </w:rPr>
        <w:t xml:space="preserve">投标（响应）文件</w:t>
      </w:r>
      <w:r>
        <w:rPr>
          <w:rFonts w:hint="eastAsia" w:ascii="宋体" w:hAnsi="宋体" w:eastAsia="宋体"/>
          <w:color w:val="auto"/>
          <w:highlight w:val="none"/>
        </w:rPr>
        <w:t xml:space="preserve">格式</w:t>
      </w:r>
      <w:r>
        <w:tab/>
      </w:r>
      <w:r>
        <w:fldChar w:fldCharType="begin"/>
      </w:r>
      <w:r>
        <w:instrText xml:space="preserve"> PAGEREF _Toc21063 \h </w:instrText>
      </w:r>
      <w:r>
        <w:fldChar w:fldCharType="separate"/>
      </w:r>
      <w:r>
        <w:t xml:space="preserve">28</w:t>
      </w:r>
      <w:r>
        <w:fldChar w:fldCharType="end"/>
      </w:r>
      <w:r/>
    </w:p>
    <w:p>
      <w:pPr>
        <w:pStyle w:val="962"/>
        <w:tabs>
          <w:tab w:val="right" w:pos="8754" w:leader="dot"/>
        </w:tabs>
      </w:pPr>
      <w:r>
        <w:rPr>
          <w:rFonts w:hint="eastAsia" w:ascii="宋体" w:hAnsi="宋体" w:eastAsia="宋体"/>
          <w:color w:val="auto"/>
          <w:highlight w:val="none"/>
        </w:rPr>
        <w:t xml:space="preserve">第四章 采购内容</w:t>
      </w:r>
      <w:r>
        <w:tab/>
      </w:r>
      <w:r>
        <w:fldChar w:fldCharType="begin"/>
      </w:r>
      <w:r>
        <w:instrText xml:space="preserve"> PAGEREF _Toc31937 \h </w:instrText>
      </w:r>
      <w:r>
        <w:fldChar w:fldCharType="separate"/>
      </w:r>
      <w:r>
        <w:t xml:space="preserve">46</w:t>
      </w:r>
      <w:r>
        <w:fldChar w:fldCharType="end"/>
      </w:r>
      <w:r/>
    </w:p>
    <w:p>
      <w:pPr>
        <w:pStyle w:val="962"/>
        <w:tabs>
          <w:tab w:val="right" w:pos="8754" w:leader="dot"/>
        </w:tabs>
      </w:pPr>
      <w:r>
        <w:rPr>
          <w:rFonts w:hint="eastAsia" w:ascii="宋体" w:hAnsi="宋体" w:eastAsia="宋体"/>
          <w:color w:val="auto"/>
          <w:highlight w:val="none"/>
        </w:rPr>
        <w:t xml:space="preserve">第五章</w:t>
      </w:r>
      <w:r>
        <w:rPr>
          <w:rFonts w:ascii="宋体" w:hAnsi="宋体" w:eastAsia="宋体"/>
          <w:color w:val="auto"/>
          <w:highlight w:val="none"/>
        </w:rPr>
        <w:t xml:space="preserve"> </w:t>
      </w:r>
      <w:r>
        <w:rPr>
          <w:rFonts w:hint="eastAsia" w:ascii="宋体" w:hAnsi="宋体" w:eastAsia="宋体"/>
          <w:color w:val="auto"/>
          <w:highlight w:val="none"/>
        </w:rPr>
        <w:t xml:space="preserve">合同主要条款</w:t>
      </w:r>
      <w:r>
        <w:tab/>
      </w:r>
      <w:r>
        <w:fldChar w:fldCharType="begin"/>
      </w:r>
      <w:r>
        <w:instrText xml:space="preserve"> PAGEREF _Toc6948 \h </w:instrText>
      </w:r>
      <w:r>
        <w:fldChar w:fldCharType="separate"/>
      </w:r>
      <w:r>
        <w:t xml:space="preserve">66</w:t>
      </w:r>
      <w:r>
        <w:fldChar w:fldCharType="end"/>
      </w:r>
      <w:r/>
    </w:p>
    <w:p>
      <w:pPr>
        <w:pStyle w:val="962"/>
        <w:tabs>
          <w:tab w:val="right" w:pos="8754" w:leader="dot"/>
        </w:tabs>
      </w:pPr>
      <w:r>
        <w:rPr>
          <w:rFonts w:hint="eastAsia" w:ascii="宋体" w:hAnsi="宋体" w:eastAsia="宋体"/>
          <w:color w:val="auto"/>
          <w:highlight w:val="none"/>
        </w:rPr>
        <w:t xml:space="preserve">第六章 评审办法</w:t>
      </w:r>
      <w:r>
        <w:tab/>
      </w:r>
      <w:r>
        <w:fldChar w:fldCharType="begin"/>
      </w:r>
      <w:r>
        <w:instrText xml:space="preserve"> PAGEREF _Toc7221 \h </w:instrText>
      </w:r>
      <w:r>
        <w:fldChar w:fldCharType="separate"/>
      </w:r>
      <w:r>
        <w:t xml:space="preserve">72</w:t>
      </w:r>
      <w:r>
        <w:fldChar w:fldCharType="end"/>
      </w:r>
      <w:r/>
    </w:p>
    <w:p>
      <w:pPr>
        <w:pStyle w:val="962"/>
        <w:tabs>
          <w:tab w:val="right" w:pos="8754" w:leader="dot"/>
        </w:tabs>
      </w:pPr>
      <w:r>
        <w:rPr>
          <w:rFonts w:hint="eastAsia" w:ascii="宋体" w:hAnsi="宋体" w:eastAsia="宋体"/>
          <w:color w:val="auto"/>
          <w:highlight w:val="none"/>
        </w:rPr>
        <w:t xml:space="preserve">第七章 附件</w:t>
      </w:r>
      <w:r>
        <w:tab/>
      </w:r>
      <w:r>
        <w:fldChar w:fldCharType="begin"/>
      </w:r>
      <w:r>
        <w:instrText xml:space="preserve"> PAGEREF _Toc9026 \h </w:instrText>
      </w:r>
      <w:r>
        <w:fldChar w:fldCharType="separate"/>
      </w:r>
      <w:r>
        <w:t xml:space="preserve">81</w:t>
      </w:r>
      <w:r>
        <w:fldChar w:fldCharType="end"/>
      </w:r>
      <w:r/>
    </w:p>
    <w:p>
      <w:pPr>
        <w:pStyle w:val="970"/>
        <w:ind w:firstLine="0"/>
        <w:jc w:val="center"/>
        <w:spacing w:line="360" w:lineRule="auto"/>
        <w:rPr>
          <w:rFonts w:hint="eastAsia" w:ascii="宋体" w:hAnsi="宋体" w:eastAsia="宋体"/>
          <w:b/>
          <w:color w:val="auto"/>
          <w:sz w:val="30"/>
          <w:szCs w:val="30"/>
          <w:highlight w:val="none"/>
        </w:rPr>
      </w:pPr>
      <w:r>
        <w:rPr>
          <w:rFonts w:ascii="宋体" w:hAnsi="宋体" w:eastAsia="宋体"/>
          <w:bCs/>
          <w:color w:val="auto"/>
          <w:szCs w:val="24"/>
          <w:highlight w:val="none"/>
        </w:rPr>
        <w:fldChar w:fldCharType="end"/>
      </w:r>
      <w:r>
        <w:rPr>
          <w:color w:val="auto"/>
          <w:highlight w:val="none"/>
        </w:rPr>
        <w:br w:type="page" w:clear="all"/>
      </w:r>
      <w:r/>
    </w:p>
    <w:p>
      <w:pPr>
        <w:pStyle w:val="970"/>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0"/>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0"/>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0"/>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0"/>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0"/>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71"/>
        <w:jc w:val="center"/>
        <w:keepLines/>
        <w:keepNext/>
        <w:pageBreakBefore w:val="0"/>
        <w:spacing w:before="0" w:after="0" w:line="360" w:lineRule="auto"/>
        <w:widowControl w:val="off"/>
        <w:rPr>
          <w:rFonts w:hint="eastAsia" w:ascii="宋体" w:hAnsi="宋体" w:eastAsia="宋体"/>
          <w:color w:val="auto"/>
          <w:sz w:val="52"/>
          <w:highlight w:val="none"/>
          <w:lang w:eastAsia="zh-CN"/>
        </w:rPr>
      </w:pPr>
      <w:r/>
      <w:bookmarkStart w:id="1" w:name="_Toc6164"/>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lang w:eastAsia="zh-CN"/>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br w:type="page" w:clear="all"/>
      </w:r>
      <w:r/>
    </w:p>
    <w:tbl>
      <w:tblPr>
        <w:tblStyle w:val="950"/>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63"/>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963"/>
              <w:ind w:firstLine="480"/>
              <w:keepLines w:val="0"/>
              <w:keepNext w:val="0"/>
              <w:pageBreakBefore w:val="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2026年太湖水源地自动站运维及重点湖泊水质藻情数据处理服务</w:t>
            </w:r>
            <w:r>
              <w:rPr>
                <w:rFonts w:hint="eastAsia" w:ascii="宋体" w:hAnsi="宋体" w:eastAsia="宋体" w:cs="宋体"/>
                <w:color w:val="auto"/>
                <w:sz w:val="24"/>
                <w:szCs w:val="24"/>
                <w:highlight w:val="none"/>
                <w:lang w:val="en-US" w:eastAsia="zh-CN"/>
              </w:rPr>
              <w:t xml:space="preserve"> JSZC-320500-SZCH-C2026-0001采购项目的潜在供应商</w:t>
            </w:r>
            <w:r>
              <w:rPr>
                <w:rFonts w:hint="eastAsia" w:ascii="宋体" w:hAnsi="宋体" w:eastAsia="宋体" w:cs="宋体"/>
                <w:color w:val="auto"/>
                <w:sz w:val="24"/>
                <w:szCs w:val="24"/>
                <w:highlight w:val="none"/>
              </w:rPr>
              <w:t xml:space="preserve">应在江苏省政府采购一体化平台“苏采云”系统</w:t>
            </w:r>
            <w:r>
              <w:rPr>
                <w:rFonts w:hint="eastAsia" w:ascii="宋体" w:hAnsi="宋体" w:eastAsia="宋体" w:cs="宋体"/>
                <w:color w:val="auto"/>
                <w:sz w:val="24"/>
                <w:szCs w:val="24"/>
                <w:highlight w:val="none"/>
                <w:lang w:val="en-US" w:eastAsia="zh-CN"/>
              </w:rPr>
              <w:t xml:space="preserve"> 获取采购文件</w:t>
            </w:r>
            <w:r>
              <w:rPr>
                <w:rFonts w:hint="eastAsia" w:ascii="宋体" w:hAnsi="宋体" w:eastAsia="宋体" w:cs="宋体"/>
                <w:color w:val="auto"/>
                <w:sz w:val="24"/>
                <w:szCs w:val="24"/>
                <w:highlight w:val="none"/>
              </w:rPr>
              <w:t xml:space="preserve">，并于2026-</w:t>
            </w: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 09:30（北京时间）前提交响应文件。</w:t>
            </w:r>
            <w:r/>
          </w:p>
        </w:tc>
      </w:tr>
    </w:tbl>
    <w:p>
      <w:pPr>
        <w:pStyle w:val="948"/>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一、项目基本情况</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项目编号：</w:t>
      </w:r>
      <w:r>
        <w:rPr>
          <w:rFonts w:hint="eastAsia" w:ascii="宋体" w:hAnsi="宋体" w:eastAsia="宋体" w:cs="宋体"/>
          <w:color w:val="auto"/>
          <w:sz w:val="24"/>
          <w:szCs w:val="24"/>
          <w:highlight w:val="none"/>
          <w:shd w:val="clear" w:color="auto" w:fill="ffffff"/>
          <w:lang w:eastAsia="zh-CN"/>
        </w:rPr>
        <w:t xml:space="preserve">JSZC-320500-SZCH-C2026-0001</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项目名称：</w:t>
      </w:r>
      <w:r>
        <w:rPr>
          <w:rFonts w:hint="eastAsia" w:ascii="宋体" w:hAnsi="宋体" w:eastAsia="宋体" w:cs="宋体"/>
          <w:color w:val="auto"/>
          <w:sz w:val="24"/>
          <w:szCs w:val="24"/>
          <w:highlight w:val="none"/>
          <w:lang w:eastAsia="zh-CN"/>
        </w:rPr>
        <w:t xml:space="preserve">2026年太湖水源地自动站运维及重点湖泊水质藻情数据处理服务</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采购方式：竞争性磋商</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预算金额：</w:t>
      </w:r>
      <w:r>
        <w:rPr>
          <w:rFonts w:hint="eastAsia" w:ascii="宋体" w:hAnsi="宋体" w:eastAsia="宋体" w:cs="宋体"/>
          <w:color w:val="auto"/>
          <w:sz w:val="24"/>
          <w:szCs w:val="24"/>
          <w:highlight w:val="none"/>
          <w:shd w:val="clear" w:color="auto" w:fill="ffffff"/>
          <w:lang w:val="en-US" w:eastAsia="zh-CN"/>
        </w:rPr>
        <w:t xml:space="preserve">80</w:t>
      </w:r>
      <w:r>
        <w:rPr>
          <w:rFonts w:hint="eastAsia" w:ascii="宋体" w:hAnsi="宋体" w:eastAsia="宋体" w:cs="宋体"/>
          <w:color w:val="auto"/>
          <w:sz w:val="24"/>
          <w:szCs w:val="24"/>
          <w:highlight w:val="none"/>
          <w:shd w:val="clear" w:color="auto" w:fill="ffffff"/>
        </w:rPr>
        <w:t xml:space="preserve">.000000万元</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最高限价（如有）：</w:t>
      </w:r>
      <w:r/>
    </w:p>
    <w:p>
      <w:pPr>
        <w:pStyle w:val="963"/>
        <w:ind w:firstLine="480"/>
        <w:spacing w:beforeAutospacing="0" w:afterAutospacing="0" w:line="360" w:lineRule="auto"/>
        <w:shd w:val="clear" w:color="auto" w:fill="ffffff"/>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采购包1：饮用水源地水站运维服务</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人民币（大写）：</w:t>
      </w:r>
      <w:r>
        <w:rPr>
          <w:rFonts w:hint="eastAsia" w:ascii="宋体" w:hAnsi="宋体" w:eastAsia="宋体" w:cs="宋体"/>
          <w:color w:val="auto"/>
          <w:sz w:val="24"/>
          <w:szCs w:val="24"/>
          <w:highlight w:val="none"/>
          <w:shd w:val="clear" w:color="auto" w:fill="ffffff"/>
          <w:lang w:val="en-US" w:eastAsia="zh-CN"/>
        </w:rPr>
        <w:t xml:space="preserve">捌拾万元整</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人民币（小写）：￥</w:t>
      </w:r>
      <w:r>
        <w:rPr>
          <w:rFonts w:hint="eastAsia" w:ascii="宋体" w:hAnsi="宋体" w:eastAsia="宋体" w:cs="宋体"/>
          <w:color w:val="auto"/>
          <w:sz w:val="24"/>
          <w:szCs w:val="24"/>
          <w:highlight w:val="none"/>
          <w:shd w:val="clear" w:color="auto" w:fill="ffffff"/>
          <w:lang w:val="en-US" w:eastAsia="zh-CN"/>
        </w:rPr>
        <w:t xml:space="preserve">80</w:t>
      </w:r>
      <w:r>
        <w:rPr>
          <w:rFonts w:hint="eastAsia" w:ascii="宋体" w:hAnsi="宋体" w:eastAsia="宋体" w:cs="宋体"/>
          <w:color w:val="auto"/>
          <w:sz w:val="24"/>
          <w:szCs w:val="24"/>
          <w:highlight w:val="none"/>
          <w:shd w:val="clear" w:color="auto" w:fill="ffffff"/>
        </w:rPr>
        <w:t xml:space="preserve">0,000.00元</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采购需求：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采购包1：饮用水源地水站运维服务。</w:t>
      </w:r>
      <w:r>
        <w:rPr>
          <w:rFonts w:hint="eastAsia" w:ascii="宋体" w:hAnsi="宋体" w:eastAsia="宋体" w:cs="宋体"/>
          <w:b w:val="0"/>
          <w:bCs/>
          <w:color w:val="auto"/>
          <w:sz w:val="24"/>
          <w:szCs w:val="24"/>
          <w:highlight w:val="none"/>
          <w:lang w:eastAsia="zh-CN"/>
        </w:rPr>
        <w:t xml:space="preserve">2026年太湖水源地自动站运维及重点湖泊水质藻情数据处理服务</w:t>
      </w:r>
      <w:r>
        <w:rPr>
          <w:rFonts w:hint="eastAsia" w:ascii="宋体" w:hAnsi="宋体" w:eastAsia="宋体" w:cs="宋体"/>
          <w:b w:val="0"/>
          <w:bCs/>
          <w:color w:val="auto"/>
          <w:sz w:val="24"/>
          <w:szCs w:val="24"/>
          <w:highlight w:val="none"/>
        </w:rPr>
        <w:t xml:space="preserve">。包括金墅港、渔洋山2个饮用水源地水站，</w:t>
      </w:r>
      <w:r>
        <w:rPr>
          <w:rFonts w:hint="eastAsia" w:ascii="宋体" w:hAnsi="宋体" w:eastAsia="宋体" w:cs="宋体"/>
          <w:b w:val="0"/>
          <w:bCs/>
          <w:color w:val="auto"/>
          <w:sz w:val="24"/>
          <w:szCs w:val="24"/>
          <w:highlight w:val="none"/>
          <w:lang w:val="en-US" w:eastAsia="zh-CN"/>
        </w:rPr>
        <w:t xml:space="preserve">頔塘河</w:t>
      </w:r>
      <w:r>
        <w:rPr>
          <w:rFonts w:hint="eastAsia" w:ascii="宋体" w:hAnsi="宋体" w:eastAsia="宋体" w:cs="宋体"/>
          <w:b w:val="0"/>
          <w:bCs/>
          <w:color w:val="auto"/>
          <w:sz w:val="24"/>
          <w:szCs w:val="24"/>
          <w:highlight w:val="none"/>
        </w:rPr>
        <w:t xml:space="preserve">1个太阳能水站，共24台（套）自动监测仪表、38个监测项目和监测系统（包含人工、交通、通讯网络费、水电费和提供备品备件、质控用便携式仪表等）以及2台全球眼开展为期1年的运行维护，全年出具12份运维服务报告和2份半年度服务总结报告。</w:t>
      </w:r>
      <w:r>
        <w:rPr>
          <w:rFonts w:hint="eastAsia" w:ascii="宋体" w:hAnsi="宋体" w:eastAsia="宋体" w:cs="宋体"/>
          <w:b w:val="0"/>
          <w:bCs/>
          <w:color w:val="auto"/>
          <w:sz w:val="24"/>
          <w:szCs w:val="24"/>
          <w:highlight w:val="none"/>
          <w:lang w:val="en-US" w:eastAsia="zh-CN"/>
        </w:rPr>
        <w:t xml:space="preserve">供应商需任选一个</w:t>
      </w:r>
      <w:r>
        <w:rPr>
          <w:rFonts w:hint="eastAsia" w:ascii="宋体" w:hAnsi="宋体" w:eastAsia="宋体" w:cs="宋体"/>
          <w:b w:val="0"/>
          <w:bCs/>
          <w:color w:val="auto"/>
          <w:sz w:val="24"/>
          <w:szCs w:val="24"/>
          <w:highlight w:val="none"/>
        </w:rPr>
        <w:t xml:space="preserve">水源地水站</w:t>
      </w:r>
      <w:r>
        <w:rPr>
          <w:rFonts w:hint="eastAsia" w:ascii="宋体" w:hAnsi="宋体" w:eastAsia="宋体" w:cs="宋体"/>
          <w:b w:val="0"/>
          <w:bCs/>
          <w:color w:val="auto"/>
          <w:sz w:val="24"/>
          <w:szCs w:val="24"/>
          <w:highlight w:val="none"/>
          <w:lang w:val="en-US" w:eastAsia="zh-CN"/>
        </w:rPr>
        <w:t xml:space="preserve">进行智能化升级改造服务。升级后的智能化水站，能够减少运维频次，提高解决问题的效率，进一步提升水站的运行质量。同时，对水源地、国、省考断面溯源及报告编制提供技术支撑，每日对水源地、国、省考断面异常数据进行预警提醒。服务周期12个月。</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合同履行期限：</w:t>
      </w:r>
      <w:r>
        <w:rPr>
          <w:rFonts w:hint="eastAsia" w:ascii="宋体" w:hAnsi="宋体" w:eastAsia="宋体" w:cs="宋体"/>
          <w:b w:val="0"/>
          <w:bCs/>
          <w:color w:val="auto"/>
          <w:sz w:val="24"/>
          <w:szCs w:val="24"/>
          <w:highlight w:val="none"/>
          <w:lang w:eastAsia="zh-CN"/>
        </w:rPr>
        <w:t xml:space="preserve">合同签订之日起一年</w:t>
      </w:r>
      <w:r>
        <w:rPr>
          <w:rFonts w:hint="eastAsia" w:ascii="宋体" w:hAnsi="宋体" w:eastAsia="宋体" w:cs="宋体"/>
          <w:color w:val="auto"/>
          <w:sz w:val="24"/>
          <w:szCs w:val="24"/>
          <w:highlight w:val="none"/>
          <w:shd w:val="clear" w:color="auto" w:fill="ffffff"/>
        </w:rPr>
        <w:t xml:space="preserve">。</w:t>
      </w:r>
      <w:r/>
    </w:p>
    <w:p>
      <w:pPr>
        <w:pStyle w:val="963"/>
        <w:ind w:firstLine="482"/>
        <w:spacing w:beforeAutospacing="0" w:afterAutospacing="0" w:line="360"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shd w:val="clear" w:color="auto" w:fill="ffffff"/>
        </w:rPr>
        <w:t xml:space="preserve">本项目（是/否）接受联合体：否</w:t>
      </w:r>
      <w:r>
        <w:rPr>
          <w:rFonts w:hint="eastAsia" w:ascii="宋体" w:hAnsi="宋体" w:eastAsia="宋体" w:cs="宋体"/>
          <w:b/>
          <w:bCs/>
          <w:color w:val="auto"/>
          <w:sz w:val="24"/>
          <w:szCs w:val="24"/>
          <w:highlight w:val="none"/>
          <w:shd w:val="clear" w:color="auto" w:fill="ffffff"/>
          <w:lang w:eastAsia="zh-CN"/>
        </w:rPr>
        <w:t xml:space="preserve"> </w:t>
      </w:r>
      <w:r/>
    </w:p>
    <w:p>
      <w:pPr>
        <w:pStyle w:val="948"/>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二、申请人的资格要求：</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（一）满足《中华人民共和国政府采购法》第二十二条规定：</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1.具有独立承担民事责任的能力；</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2.具有良好的商业信誉和健全的财务会计制度；</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3.具有履行合同所必需的设备和专业技术能力；</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4.有依法缴纳税收和社会保障资金的良好记录；</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5.参加政府采购活动前三年内，在经营活动中没有重大违法记录；</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6.法律、行政法规规定的其他条件。</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（二）落实政府采购政策需满足的资格要求：</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（三）本项目的特定资格要求：</w:t>
      </w:r>
      <w:r/>
    </w:p>
    <w:p>
      <w:pPr>
        <w:pStyle w:val="963"/>
        <w:ind w:firstLine="48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shd w:val="clear" w:color="auto" w:fill="ffffff"/>
        </w:rPr>
        <w:t xml:space="preserve">www.creditchina.gov.cn</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）列入失信被执行人、重大税收违法案件当事人名单、</w:t>
      </w:r>
      <w:r>
        <w:rPr>
          <w:rFonts w:hint="eastAsia" w:ascii="宋体" w:hAnsi="宋体" w:eastAsia="宋体" w:cs="宋体"/>
          <w:color w:val="auto"/>
          <w:sz w:val="24"/>
          <w:szCs w:val="24"/>
          <w:highlight w:val="none"/>
        </w:rPr>
        <w:t xml:space="preserve">政府采购严重失信行为记录名单。</w:t>
      </w:r>
      <w:r/>
    </w:p>
    <w:p>
      <w:pPr>
        <w:pStyle w:val="948"/>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三、获取采购文件</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时间：自</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公告发布之日起5个工作日</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地点：江苏省政府采购一体化平台“苏采云”系统</w:t>
      </w:r>
      <w:r>
        <w:rPr>
          <w:rFonts w:hint="eastAsia" w:ascii="宋体" w:hAnsi="宋体" w:eastAsia="宋体" w:cs="宋体"/>
          <w:color w:val="auto"/>
          <w:sz w:val="24"/>
          <w:szCs w:val="24"/>
          <w:highlight w:val="none"/>
          <w:shd w:val="clear" w:color="auto" w:fill="ffffff"/>
          <w:lang w:eastAsia="zh-CN"/>
        </w:rPr>
        <w:t xml:space="preserve"> </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日期。供应商须打印、保留《投标供应商确认函》，质疑时《投标供应商确认函》与质疑函一并提交。未依照</w:t>
      </w:r>
      <w:r>
        <w:rPr>
          <w:rFonts w:hint="eastAsia" w:ascii="宋体" w:hAnsi="宋体" w:eastAsia="宋体" w:cs="宋体"/>
          <w:color w:val="auto"/>
          <w:sz w:val="24"/>
          <w:szCs w:val="24"/>
          <w:highlight w:val="none"/>
          <w:shd w:val="clear" w:color="auto" w:fill="ffffff"/>
          <w:lang w:eastAsia="zh-CN"/>
        </w:rPr>
        <w:t xml:space="preserve">采购公告</w:t>
      </w:r>
      <w:r>
        <w:rPr>
          <w:rFonts w:hint="eastAsia" w:ascii="宋体" w:hAnsi="宋体" w:eastAsia="宋体" w:cs="宋体"/>
          <w:color w:val="auto"/>
          <w:sz w:val="24"/>
          <w:szCs w:val="24"/>
          <w:highlight w:val="none"/>
          <w:shd w:val="clear" w:color="auto" w:fill="ffffff"/>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时间设定不符合有关法律法规规定等原因使供应商权益受损的除外。</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售价：0.00元</w:t>
      </w:r>
      <w:r>
        <w:rPr>
          <w:rFonts w:hint="eastAsia" w:ascii="宋体" w:hAnsi="宋体" w:eastAsia="宋体" w:cs="宋体"/>
          <w:color w:val="auto"/>
          <w:sz w:val="24"/>
          <w:szCs w:val="24"/>
          <w:highlight w:val="none"/>
          <w:shd w:val="clear" w:color="auto" w:fill="ffffff"/>
          <w:lang w:eastAsia="zh-CN"/>
        </w:rPr>
        <w:t xml:space="preserve"> </w:t>
      </w:r>
      <w:r/>
    </w:p>
    <w:p>
      <w:pPr>
        <w:pStyle w:val="948"/>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四、</w:t>
      </w:r>
      <w:r>
        <w:rPr>
          <w:rStyle w:val="966"/>
          <w:rFonts w:hint="eastAsia" w:ascii="宋体" w:hAnsi="宋体" w:eastAsia="宋体" w:cs="宋体"/>
          <w:color w:val="auto"/>
          <w:sz w:val="24"/>
          <w:szCs w:val="24"/>
          <w:highlight w:val="none"/>
          <w:shd w:val="clear" w:color="auto" w:fill="ffffff"/>
          <w:lang w:eastAsia="zh-CN"/>
        </w:rPr>
        <w:t xml:space="preserve">响应文件</w:t>
      </w:r>
      <w:r>
        <w:rPr>
          <w:rStyle w:val="966"/>
          <w:rFonts w:hint="eastAsia" w:ascii="宋体" w:hAnsi="宋体" w:eastAsia="宋体" w:cs="宋体"/>
          <w:color w:val="auto"/>
          <w:sz w:val="24"/>
          <w:szCs w:val="24"/>
          <w:highlight w:val="none"/>
          <w:shd w:val="clear" w:color="auto" w:fill="ffffff"/>
        </w:rPr>
        <w:t xml:space="preserve">提交</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截止时间：2026-</w:t>
      </w:r>
      <w:r>
        <w:rPr>
          <w:rFonts w:hint="eastAsia" w:ascii="宋体" w:hAnsi="宋体" w:eastAsia="宋体" w:cs="宋体"/>
          <w:color w:val="auto"/>
          <w:sz w:val="24"/>
          <w:szCs w:val="24"/>
          <w:highlight w:val="none"/>
          <w:shd w:val="clear" w:color="auto" w:fill="ffffff"/>
          <w:lang w:val="en-US" w:eastAsia="zh-CN"/>
        </w:rPr>
        <w:t xml:space="preserve">1-26</w:t>
      </w:r>
      <w:r>
        <w:rPr>
          <w:rFonts w:hint="eastAsia" w:ascii="宋体" w:hAnsi="宋体" w:eastAsia="宋体" w:cs="宋体"/>
          <w:color w:val="auto"/>
          <w:sz w:val="24"/>
          <w:szCs w:val="24"/>
          <w:highlight w:val="none"/>
          <w:shd w:val="clear" w:color="auto" w:fill="ffffff"/>
        </w:rPr>
        <w:t xml:space="preserve"> 9:30</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（北京时间）</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地点：“苏采云”系统（网址：http://jszfcg.jsczt.cn/）</w:t>
      </w:r>
      <w:r>
        <w:rPr>
          <w:rFonts w:hint="eastAsia" w:ascii="宋体" w:hAnsi="宋体" w:eastAsia="宋体" w:cs="宋体"/>
          <w:color w:val="auto"/>
          <w:sz w:val="24"/>
          <w:szCs w:val="24"/>
          <w:highlight w:val="none"/>
          <w:shd w:val="clear" w:color="auto" w:fill="ffffff"/>
          <w:lang w:eastAsia="zh-CN"/>
        </w:rPr>
        <w:t xml:space="preserve"> </w:t>
      </w:r>
      <w:r/>
    </w:p>
    <w:p>
      <w:pPr>
        <w:pStyle w:val="948"/>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五、开启</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时间：2026-</w:t>
      </w:r>
      <w:r>
        <w:rPr>
          <w:rFonts w:hint="eastAsia" w:ascii="宋体" w:hAnsi="宋体" w:eastAsia="宋体" w:cs="宋体"/>
          <w:color w:val="auto"/>
          <w:sz w:val="24"/>
          <w:szCs w:val="24"/>
          <w:highlight w:val="none"/>
          <w:shd w:val="clear" w:color="auto" w:fill="ffffff"/>
          <w:lang w:val="en-US" w:eastAsia="zh-CN"/>
        </w:rPr>
        <w:t xml:space="preserve">1-26</w:t>
      </w:r>
      <w:r>
        <w:rPr>
          <w:rFonts w:hint="eastAsia" w:ascii="宋体" w:hAnsi="宋体" w:eastAsia="宋体" w:cs="宋体"/>
          <w:color w:val="auto"/>
          <w:sz w:val="24"/>
          <w:szCs w:val="24"/>
          <w:highlight w:val="none"/>
          <w:shd w:val="clear" w:color="auto" w:fill="ffffff"/>
        </w:rPr>
        <w:t xml:space="preserve"> 9:30</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（北京时间）</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地点：“苏采云”系统（网址：http://jszfcg.jsczt.cn/）</w:t>
      </w:r>
      <w:r/>
    </w:p>
    <w:p>
      <w:pPr>
        <w:pStyle w:val="948"/>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六、公告期限</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自本公告发布之日起3个工作日。</w:t>
      </w:r>
      <w:r/>
    </w:p>
    <w:p>
      <w:pPr>
        <w:pStyle w:val="948"/>
        <w:ind w:firstLine="482"/>
        <w:jc w:val="left"/>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pPr>
      <w:r>
        <w:rPr>
          <w:rStyle w:val="966"/>
          <w:rFonts w:hint="eastAsia" w:ascii="宋体" w:hAnsi="宋体" w:eastAsia="宋体" w:cs="宋体"/>
          <w:color w:val="auto"/>
          <w:sz w:val="24"/>
          <w:szCs w:val="24"/>
          <w:highlight w:val="none"/>
          <w:shd w:val="clear" w:color="auto" w:fill="ffffff"/>
        </w:rPr>
        <w:t xml:space="preserve">七、其他补充事宜</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4、CA证书办理</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color w:val="auto"/>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7、如不同投标（响应）文件制作机器码一致，则投标（响应）无效。</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8、制作电子投标（响应）文件：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本项目采用电子</w:t>
      </w:r>
      <w:r>
        <w:rPr>
          <w:rFonts w:hint="eastAsia" w:ascii="宋体" w:hAnsi="宋体" w:eastAsia="宋体" w:cs="宋体"/>
          <w:color w:val="auto"/>
          <w:sz w:val="24"/>
          <w:szCs w:val="24"/>
          <w:highlight w:val="none"/>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11、技术支持：</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电子签章技术咨询服务电话：025-83633811、025-83633812、15380932027、15371015030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12、根据《政府采购促进中小企业发展管理办法》（财库〔2020〕46号）及《中小企业划型标准规定》（工信部联企业〔2011〕300号），本采购标的对应的中小企业划分标准所属行业为：租赁和商务服务业。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14、苏州市政府采购管理监督电话：0512-68616651</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苏州市生态环境局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单位地址：苏州市竹园路6号狮山金融创新中心5号楼16层-18层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赵亮</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18962169859</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单位名称：苏州诚和招投标咨询有限公司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单位地址：苏州市竹辉路477号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联系人：沈川渝、邬汝超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0512-65161672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项目联系人：沈川渝、邬汝超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张萱</w:t>
      </w:r>
      <w:r/>
    </w:p>
    <w:p>
      <w:pPr>
        <w:ind w:firstLine="480"/>
        <w:jc w:val="left"/>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0512-65161672</w:t>
      </w:r>
      <w:r>
        <w:rPr>
          <w:color w:val="auto"/>
          <w:highlight w:val="none"/>
        </w:rPr>
        <w:br w:type="page" w:clear="all"/>
      </w:r>
      <w:r/>
    </w:p>
    <w:p>
      <w:pPr>
        <w:jc w:val="center"/>
        <w:keepLines/>
        <w:keepNext/>
        <w:pageBreakBefore w:val="0"/>
        <w:spacing w:line="579" w:lineRule="auto"/>
        <w:widowControl w:val="off"/>
        <w:rPr>
          <w:rFonts w:hint="eastAsia" w:ascii="宋体" w:hAnsi="宋体" w:eastAsia="宋体"/>
          <w:color w:val="auto"/>
          <w:sz w:val="52"/>
          <w:highlight w:val="none"/>
        </w:rPr>
        <w:outlineLvl w:val="9"/>
      </w:pPr>
      <w:r/>
      <w:bookmarkStart w:id="2" w:name="_Toc8100"/>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47"/>
        <w:jc w:val="center"/>
        <w:keepLines/>
        <w:keepNext/>
        <w:pageBreakBefore w:val="0"/>
        <w:spacing w:before="0" w:after="0" w:line="360" w:lineRule="auto"/>
        <w:widowControl w:val="off"/>
        <w:rPr>
          <w:rFonts w:hint="eastAsia" w:ascii="宋体" w:hAnsi="宋体" w:eastAsia="宋体"/>
          <w:color w:val="auto"/>
          <w:sz w:val="52"/>
          <w:highlight w:val="none"/>
        </w:rPr>
      </w:pPr>
      <w:r/>
      <w:bookmarkStart w:id="3" w:name="_Toc29079"/>
      <w:r>
        <w:rPr>
          <w:rFonts w:hint="eastAsia" w:ascii="宋体" w:hAnsi="宋体" w:eastAsia="宋体"/>
          <w:color w:val="auto"/>
          <w:sz w:val="52"/>
          <w:highlight w:val="none"/>
        </w:rPr>
        <w:t xml:space="preserve">第二章 供应商须知</w:t>
      </w:r>
      <w:bookmarkEnd w:id="2"/>
      <w:r/>
      <w:bookmarkEnd w:id="3"/>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A.说明和释义</w:t>
      </w:r>
      <w:r/>
    </w:p>
    <w:p>
      <w:pPr>
        <w:ind w:firstLine="480"/>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bookmarkStart w:id="4" w:name="_Hlk193371863"/>
      <w:r>
        <w:rPr>
          <w:rFonts w:hint="eastAsia" w:ascii="宋体" w:hAnsi="宋体" w:eastAsia="宋体"/>
          <w:color w:val="auto"/>
          <w:szCs w:val="24"/>
          <w:highlight w:val="none"/>
        </w:rPr>
        <w:t xml:space="preserve">苏州诚和招投标咨询有限公司</w:t>
      </w:r>
      <w:bookmarkEnd w:id="4"/>
      <w:r>
        <w:rPr>
          <w:rFonts w:hint="eastAsia" w:ascii="宋体" w:hAnsi="宋体" w:eastAsia="宋体"/>
          <w:color w:val="auto"/>
          <w:szCs w:val="24"/>
          <w:highlight w:val="none"/>
        </w:rPr>
        <w:t xml:space="preserve">组织的采购活动。</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bookmarkStart w:id="5" w:name="_Hlk193371880"/>
      <w:r>
        <w:rPr>
          <w:rFonts w:hint="eastAsia" w:ascii="宋体" w:hAnsi="宋体" w:eastAsia="宋体"/>
          <w:color w:val="auto"/>
          <w:szCs w:val="24"/>
          <w:highlight w:val="none"/>
        </w:rPr>
        <w:t xml:space="preserve">苏州诚和招投标咨询有限公司</w:t>
      </w:r>
      <w:bookmarkEnd w:id="5"/>
      <w:r>
        <w:rPr>
          <w:rFonts w:hint="eastAsia" w:ascii="宋体" w:hAnsi="宋体" w:eastAsia="宋体"/>
          <w:color w:val="auto"/>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采购人：指依法进行政府采购的国家机关、事业单位、团体组织。</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3供应商：</w:t>
      </w:r>
      <w:r>
        <w:rPr>
          <w:rFonts w:ascii="宋体" w:hAnsi="宋体" w:eastAsia="宋体"/>
          <w:color w:val="auto"/>
          <w:sz w:val="24"/>
          <w:szCs w:val="24"/>
          <w:highlight w:val="none"/>
          <w:shd w:val="clear" w:color="auto" w:fill="ffffff"/>
        </w:rPr>
        <w:t xml:space="preserve">指响应招标、参加投标竞争的法人、其他组织或者自然人。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4响应：供应商根据采购人或采购代理机构发布的</w:t>
      </w:r>
      <w:r>
        <w:rPr>
          <w:rFonts w:hint="eastAsia" w:ascii="宋体" w:hAnsi="宋体" w:eastAsia="宋体"/>
          <w:color w:val="auto"/>
          <w:sz w:val="24"/>
          <w:szCs w:val="24"/>
          <w:highlight w:val="none"/>
          <w:shd w:val="clear" w:color="auto" w:fill="ffffff"/>
          <w:lang w:eastAsia="zh-CN"/>
        </w:rPr>
        <w:t xml:space="preserve">采购文件</w:t>
      </w:r>
      <w:r>
        <w:rPr>
          <w:rFonts w:hint="eastAsia" w:ascii="宋体" w:hAnsi="宋体" w:eastAsia="宋体"/>
          <w:color w:val="auto"/>
          <w:sz w:val="24"/>
          <w:szCs w:val="24"/>
          <w:highlight w:val="none"/>
          <w:shd w:val="clear" w:color="auto" w:fill="ffffff"/>
        </w:rPr>
        <w:t xml:space="preserve">，编制</w:t>
      </w:r>
      <w:r>
        <w:rPr>
          <w:rFonts w:hint="eastAsia" w:ascii="宋体" w:hAnsi="宋体" w:eastAsia="宋体"/>
          <w:color w:val="auto"/>
          <w:sz w:val="24"/>
          <w:szCs w:val="24"/>
          <w:highlight w:val="none"/>
          <w:shd w:val="clear" w:color="auto" w:fill="ffffff"/>
          <w:lang w:eastAsia="zh-CN"/>
        </w:rPr>
        <w:t xml:space="preserve">投标文件</w:t>
      </w:r>
      <w:r>
        <w:rPr>
          <w:rFonts w:hint="eastAsia" w:ascii="宋体" w:hAnsi="宋体" w:eastAsia="宋体"/>
          <w:color w:val="auto"/>
          <w:sz w:val="24"/>
          <w:szCs w:val="24"/>
          <w:highlight w:val="none"/>
          <w:shd w:val="clear" w:color="auto" w:fill="ffffff"/>
        </w:rPr>
        <w:t xml:space="preserve">并按规定投标的行为。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5合同：采供双方根据</w:t>
      </w:r>
      <w:r>
        <w:rPr>
          <w:rFonts w:hint="eastAsia" w:ascii="宋体" w:hAnsi="宋体" w:eastAsia="宋体"/>
          <w:color w:val="auto"/>
          <w:sz w:val="24"/>
          <w:szCs w:val="24"/>
          <w:highlight w:val="none"/>
          <w:shd w:val="clear" w:color="auto" w:fill="ffffff"/>
          <w:lang w:eastAsia="zh-CN"/>
        </w:rPr>
        <w:t xml:space="preserve">采购文件</w:t>
      </w:r>
      <w:r>
        <w:rPr>
          <w:rFonts w:hint="eastAsia" w:ascii="宋体" w:hAnsi="宋体" w:eastAsia="宋体"/>
          <w:color w:val="auto"/>
          <w:sz w:val="24"/>
          <w:szCs w:val="24"/>
          <w:highlight w:val="none"/>
          <w:shd w:val="clear" w:color="auto" w:fill="ffffff"/>
        </w:rPr>
        <w:t xml:space="preserve">和</w:t>
      </w:r>
      <w:r>
        <w:rPr>
          <w:rFonts w:hint="eastAsia" w:ascii="宋体" w:hAnsi="宋体" w:eastAsia="宋体"/>
          <w:color w:val="auto"/>
          <w:sz w:val="24"/>
          <w:szCs w:val="24"/>
          <w:highlight w:val="none"/>
          <w:shd w:val="clear" w:color="auto" w:fill="ffffff"/>
          <w:lang w:val="en-US" w:eastAsia="zh-CN"/>
        </w:rPr>
        <w:t xml:space="preserve">中标</w:t>
      </w:r>
      <w:r>
        <w:rPr>
          <w:rFonts w:hint="eastAsia" w:ascii="宋体" w:hAnsi="宋体" w:eastAsia="宋体"/>
          <w:color w:val="auto"/>
          <w:sz w:val="24"/>
          <w:szCs w:val="24"/>
          <w:highlight w:val="none"/>
          <w:shd w:val="clear" w:color="auto" w:fill="ffffff"/>
        </w:rPr>
        <w:t xml:space="preserve">的</w:t>
      </w:r>
      <w:r>
        <w:rPr>
          <w:rFonts w:hint="eastAsia" w:ascii="宋体" w:hAnsi="宋体" w:eastAsia="宋体"/>
          <w:color w:val="auto"/>
          <w:sz w:val="24"/>
          <w:szCs w:val="24"/>
          <w:highlight w:val="none"/>
          <w:shd w:val="clear" w:color="auto" w:fill="ffffff"/>
          <w:lang w:val="en-US" w:eastAsia="zh-CN"/>
        </w:rPr>
        <w:t xml:space="preserve">投标（响应）文件</w:t>
      </w:r>
      <w:r>
        <w:rPr>
          <w:rFonts w:hint="eastAsia" w:ascii="宋体" w:hAnsi="宋体" w:eastAsia="宋体"/>
          <w:color w:val="auto"/>
          <w:sz w:val="24"/>
          <w:szCs w:val="24"/>
          <w:highlight w:val="none"/>
          <w:shd w:val="clear" w:color="auto" w:fill="ffffff"/>
        </w:rPr>
        <w:t xml:space="preserve">及</w:t>
      </w:r>
      <w:r>
        <w:rPr>
          <w:rFonts w:hint="eastAsia" w:ascii="宋体" w:hAnsi="宋体" w:eastAsia="宋体"/>
          <w:color w:val="auto"/>
          <w:sz w:val="24"/>
          <w:szCs w:val="24"/>
          <w:highlight w:val="none"/>
          <w:shd w:val="clear" w:color="auto" w:fill="ffffff"/>
          <w:lang w:val="en-US" w:eastAsia="zh-CN"/>
        </w:rPr>
        <w:t xml:space="preserve">中标（成交）通知书</w:t>
      </w:r>
      <w:r>
        <w:rPr>
          <w:rFonts w:hint="eastAsia" w:ascii="宋体" w:hAnsi="宋体" w:eastAsia="宋体"/>
          <w:color w:val="auto"/>
          <w:sz w:val="24"/>
          <w:szCs w:val="24"/>
          <w:highlight w:val="none"/>
          <w:shd w:val="clear" w:color="auto" w:fill="ffffff"/>
        </w:rPr>
        <w:t xml:space="preserve">规定的内容签署的以书面形式所达成的协议，包括所有的附件、附录和构成协议的所有文件。</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6甲方（采购人）：合同中明确规定的实际购买货物和服务的法人或其他组织和自然人。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7乙方（供应商）：合同中规定的向采购人提供货物和服务的法人或其他组织和自然人。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8</w:t>
      </w:r>
      <w:r>
        <w:rPr>
          <w:rFonts w:ascii="宋体" w:hAnsi="宋体" w:eastAsia="宋体"/>
          <w:color w:val="auto"/>
          <w:sz w:val="24"/>
          <w:szCs w:val="24"/>
          <w:highlight w:val="none"/>
          <w:shd w:val="clear" w:color="auto" w:fill="ffffff"/>
        </w:rPr>
        <w:t xml:space="preserve">货物</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方按</w:t>
      </w:r>
      <w:r>
        <w:rPr>
          <w:rFonts w:hint="eastAsia" w:ascii="宋体" w:hAnsi="宋体" w:eastAsia="宋体"/>
          <w:color w:val="auto"/>
          <w:sz w:val="24"/>
          <w:szCs w:val="24"/>
          <w:highlight w:val="none"/>
          <w:shd w:val="clear" w:color="auto" w:fill="ffffff"/>
          <w:lang w:eastAsia="zh-CN"/>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应</w:t>
      </w:r>
      <w:r>
        <w:rPr>
          <w:rFonts w:ascii="宋体" w:hAnsi="宋体" w:eastAsia="宋体"/>
          <w:color w:val="auto"/>
          <w:sz w:val="24"/>
          <w:szCs w:val="24"/>
          <w:highlight w:val="none"/>
          <w:shd w:val="clear" w:color="auto" w:fill="ffffff"/>
        </w:rPr>
        <w:t xml:space="preserve">向</w:t>
      </w:r>
      <w:r>
        <w:rPr>
          <w:rFonts w:hint="eastAsia" w:ascii="宋体" w:hAnsi="宋体" w:eastAsia="宋体"/>
          <w:color w:val="auto"/>
          <w:sz w:val="24"/>
          <w:szCs w:val="24"/>
          <w:highlight w:val="none"/>
          <w:shd w:val="clear" w:color="auto" w:fill="ffffff"/>
        </w:rPr>
        <w:t xml:space="preserve">甲</w:t>
      </w:r>
      <w:r>
        <w:rPr>
          <w:rFonts w:ascii="宋体" w:hAnsi="宋体" w:eastAsia="宋体"/>
          <w:color w:val="auto"/>
          <w:sz w:val="24"/>
          <w:szCs w:val="24"/>
          <w:highlight w:val="none"/>
          <w:shd w:val="clear" w:color="auto" w:fill="ffffff"/>
        </w:rPr>
        <w:t xml:space="preserve">方提供的一切设备、备品、备件、工具、手册及其它有关技术资料和材料。</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2.9</w:t>
      </w:r>
      <w:r>
        <w:rPr>
          <w:rFonts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系指本次</w:t>
      </w:r>
      <w:r>
        <w:rPr>
          <w:rFonts w:hint="eastAsia" w:ascii="宋体" w:hAnsi="宋体" w:eastAsia="宋体"/>
          <w:color w:val="auto"/>
          <w:sz w:val="24"/>
          <w:szCs w:val="24"/>
          <w:highlight w:val="none"/>
          <w:shd w:val="clear" w:color="auto" w:fill="ffffff"/>
          <w:lang w:eastAsia="zh-CN"/>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w:t>
      </w:r>
      <w:r>
        <w:rPr>
          <w:rFonts w:hint="eastAsia" w:ascii="宋体" w:hAnsi="宋体" w:eastAsia="宋体"/>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tabs>
          <w:tab w:val="left" w:pos="540" w:leader="none"/>
        </w:tabs>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11天：日历天。</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3交货地点：合同中明确约定的乙方提交的货物和服务最终到达地点。</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4合同价款：根据合同规定，乙方在正确地履行合同义务后甲方应支付乙方的价款。</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5产地：货物开采、生长、生产、最终制造、加工或提供服务的来源地。</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6不可抗力：不能预见、不能避免并且不能克服的客观情况。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2.17</w:t>
      </w:r>
      <w:r>
        <w:rPr>
          <w:rFonts w:hint="eastAsia" w:ascii="宋体" w:hAnsi="宋体" w:eastAsia="宋体" w:cs="宋体"/>
          <w:color w:val="auto"/>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jc w:val="both"/>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eastAsia="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eastAsia="宋体"/>
          <w:color w:val="auto"/>
          <w:sz w:val="24"/>
          <w:szCs w:val="24"/>
          <w:highlight w:val="none"/>
        </w:rPr>
        <w:t xml:space="preserve">核心产品：根据本项目技术构成、产品价格比重等合理确定的产品。</w:t>
      </w:r>
      <w:r/>
    </w:p>
    <w:p>
      <w:pPr>
        <w:ind w:firstLine="480"/>
        <w:jc w:val="both"/>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eastAsia="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eastAsia="宋体"/>
          <w:color w:val="auto"/>
          <w:sz w:val="24"/>
          <w:szCs w:val="24"/>
          <w:highlight w:val="none"/>
        </w:rPr>
        <w:t xml:space="preserve">本国产品</w:t>
      </w:r>
      <w:r>
        <w:rPr>
          <w:rFonts w:hint="eastAsia" w:eastAsia="宋体"/>
          <w:color w:val="auto"/>
          <w:sz w:val="24"/>
          <w:szCs w:val="24"/>
          <w:highlight w:val="none"/>
          <w:lang w:eastAsia="zh-CN"/>
        </w:rPr>
        <w:t xml:space="preserve">：</w:t>
      </w:r>
      <w:r>
        <w:rPr>
          <w:rFonts w:hint="eastAsia" w:eastAsia="宋体"/>
          <w:color w:val="auto"/>
          <w:sz w:val="24"/>
          <w:szCs w:val="24"/>
          <w:highlight w:val="none"/>
        </w:rPr>
        <w:t xml:space="preserve">符合</w:t>
      </w:r>
      <w:r>
        <w:rPr>
          <w:rFonts w:hint="eastAsia" w:eastAsia="宋体" w:cs="宋体"/>
          <w:color w:val="auto"/>
          <w:sz w:val="24"/>
          <w:szCs w:val="24"/>
          <w:highlight w:val="none"/>
          <w:lang w:val="zh-CN"/>
        </w:rPr>
        <w:t xml:space="preserve">《国务院办公厅关于在政府采购中实施本国产品标准及相关政策的通知》（国办发［2025］34号）规定</w:t>
      </w:r>
      <w:r>
        <w:rPr>
          <w:rFonts w:hint="eastAsia" w:eastAsia="宋体"/>
          <w:color w:val="auto"/>
          <w:sz w:val="24"/>
          <w:szCs w:val="24"/>
          <w:highlight w:val="none"/>
        </w:rPr>
        <w:t xml:space="preserve">的产品视为本国产品。</w:t>
      </w:r>
      <w:r/>
    </w:p>
    <w:p>
      <w:pPr>
        <w:ind w:firstLine="480"/>
        <w:jc w:val="both"/>
        <w:spacing w:line="360" w:lineRule="auto"/>
        <w:rPr>
          <w:rFonts w:eastAsia="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eastAsia="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B.供应商</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3.</w:t>
      </w:r>
      <w:bookmarkStart w:id="6" w:name="_Hlk193372078"/>
      <w:r>
        <w:rPr>
          <w:rStyle w:val="966"/>
          <w:rFonts w:hint="eastAsia" w:ascii="宋体" w:hAnsi="宋体" w:eastAsia="宋体" w:cs="宋体"/>
          <w:color w:val="auto"/>
          <w:sz w:val="24"/>
          <w:szCs w:val="24"/>
          <w:highlight w:val="none"/>
          <w:shd w:val="clear" w:color="auto" w:fill="ffffff"/>
        </w:rPr>
        <w:t xml:space="preserve">申请人的资格要求：</w:t>
      </w:r>
      <w:bookmarkEnd w:id="6"/>
      <w:r/>
      <w:r/>
    </w:p>
    <w:p>
      <w:pPr>
        <w:pStyle w:val="97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rPr>
        <w:t xml:space="preserve">详见本项目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4.供应商代表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指全权代表供应商参加磋商采购活动并签署</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的人，如果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5.磋商费用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无论磋商过程中的做法和结果如何，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自行承担所有与参加磋商有关的全部费用。</w:t>
      </w:r>
      <w:r/>
    </w:p>
    <w:p>
      <w:pPr>
        <w:ind w:firstLine="482"/>
        <w:jc w:val="both"/>
        <w:spacing w:line="360" w:lineRule="auto"/>
        <w:rPr>
          <w:rFonts w:hint="default" w:eastAsia="宋体" w:asciiTheme="minorAscii" w:hAnsiTheme="minorAscii"/>
          <w:b/>
          <w:color w:val="auto"/>
          <w:sz w:val="24"/>
          <w:szCs w:val="24"/>
          <w:highlight w:val="none"/>
        </w:rPr>
      </w:pPr>
      <w:r/>
      <w:bookmarkStart w:id="7" w:name="_Hlk193372378"/>
      <w:r>
        <w:rPr>
          <w:rFonts w:hint="default" w:ascii="宋体" w:hAnsi="宋体" w:eastAsia="宋体" w:cs="宋体"/>
          <w:b/>
          <w:color w:val="auto"/>
          <w:sz w:val="24"/>
          <w:szCs w:val="24"/>
          <w:highlight w:val="none"/>
          <w:shd w:val="clear" w:color="auto" w:fill="ffffff"/>
        </w:rPr>
        <w:t xml:space="preserve">6.</w:t>
      </w:r>
      <w:r>
        <w:rPr>
          <w:rFonts w:hint="default" w:eastAsia="宋体" w:asciiTheme="minorAscii" w:hAnsiTheme="minorAscii"/>
          <w:b/>
          <w:color w:val="auto"/>
          <w:sz w:val="24"/>
          <w:szCs w:val="24"/>
          <w:highlight w:val="none"/>
        </w:rPr>
        <w:t xml:space="preserve">联合投标（响应）</w:t>
      </w:r>
      <w:r/>
    </w:p>
    <w:p>
      <w:pPr>
        <w:ind w:firstLine="480"/>
        <w:jc w:val="both"/>
        <w:spacing w:line="360" w:lineRule="auto"/>
        <w:rPr>
          <w:rFonts w:hint="default" w:eastAsia="宋体" w:asciiTheme="minorAscii" w:hAnsiTheme="minorAscii"/>
          <w:color w:val="auto"/>
          <w:sz w:val="24"/>
          <w:szCs w:val="24"/>
          <w:highlight w:val="none"/>
        </w:rPr>
      </w:pPr>
      <w:r>
        <w:rPr>
          <w:rFonts w:hint="default" w:ascii="宋体" w:hAnsi="宋体" w:eastAsia="宋体" w:cs="宋体"/>
          <w:color w:val="auto"/>
          <w:sz w:val="24"/>
          <w:szCs w:val="24"/>
          <w:highlight w:val="none"/>
          <w:shd w:val="clear" w:color="auto" w:fill="ffffff"/>
        </w:rPr>
        <w:t xml:space="preserve">6.1</w:t>
      </w:r>
      <w:r>
        <w:rPr>
          <w:rFonts w:hint="default" w:eastAsia="宋体" w:asciiTheme="minorAscii" w:hAnsiTheme="minorAscii"/>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default" w:eastAsia="宋体" w:asciiTheme="minorAscii" w:hAnsiTheme="minorAscii"/>
          <w:color w:val="auto"/>
          <w:sz w:val="24"/>
          <w:szCs w:val="24"/>
          <w:highlight w:val="none"/>
        </w:rPr>
      </w:pPr>
      <w:r/>
      <w:bookmarkStart w:id="8" w:name="_Hlk193372188"/>
      <w:r>
        <w:rPr>
          <w:rFonts w:hint="default" w:ascii="宋体" w:hAnsi="宋体" w:eastAsia="宋体" w:cs="宋体"/>
          <w:color w:val="auto"/>
          <w:sz w:val="24"/>
          <w:szCs w:val="24"/>
          <w:highlight w:val="none"/>
          <w:shd w:val="clear" w:color="auto" w:fill="ffffff"/>
        </w:rPr>
        <w:t xml:space="preserve">6.2</w:t>
      </w:r>
      <w:r>
        <w:rPr>
          <w:rFonts w:hint="default" w:eastAsia="宋体" w:asciiTheme="minorAscii" w:hAnsiTheme="minorAscii"/>
          <w:color w:val="auto"/>
          <w:sz w:val="24"/>
          <w:szCs w:val="24"/>
          <w:highlight w:val="none"/>
        </w:rPr>
        <w:t xml:space="preserve">联合体除应符合上述</w:t>
      </w:r>
      <w:r>
        <w:rPr>
          <w:rFonts w:hint="default" w:ascii="宋体" w:hAnsi="宋体" w:eastAsia="宋体" w:cs="宋体"/>
          <w:color w:val="auto"/>
          <w:sz w:val="24"/>
          <w:szCs w:val="24"/>
          <w:highlight w:val="none"/>
          <w:shd w:val="clear" w:color="auto" w:fill="ffffff"/>
        </w:rPr>
        <w:t xml:space="preserve">6.1</w:t>
      </w:r>
      <w:r>
        <w:rPr>
          <w:rFonts w:hint="default" w:eastAsia="宋体" w:asciiTheme="minorAscii" w:hAnsiTheme="minorAscii"/>
          <w:color w:val="auto"/>
          <w:sz w:val="24"/>
          <w:szCs w:val="24"/>
          <w:highlight w:val="none"/>
        </w:rPr>
        <w:t xml:space="preserve">条要求外，还应遵守以下规定：</w:t>
      </w:r>
      <w:r/>
    </w:p>
    <w:p>
      <w:pPr>
        <w:ind w:firstLine="480"/>
        <w:jc w:val="both"/>
        <w:spacing w:line="360" w:lineRule="auto"/>
        <w:rPr>
          <w:rFonts w:hint="default" w:eastAsia="宋体" w:asciiTheme="minorAscii" w:hAnsiTheme="minorAscii"/>
          <w:color w:val="auto"/>
          <w:sz w:val="24"/>
          <w:szCs w:val="24"/>
          <w:highlight w:val="none"/>
        </w:rPr>
      </w:pPr>
      <w:r>
        <w:rPr>
          <w:rFonts w:hint="default" w:ascii="宋体" w:hAnsi="宋体" w:eastAsia="宋体" w:cs="宋体"/>
          <w:color w:val="auto"/>
          <w:sz w:val="24"/>
          <w:szCs w:val="24"/>
          <w:highlight w:val="none"/>
          <w:shd w:val="clear" w:color="auto" w:fill="ffffff"/>
        </w:rPr>
        <w:t xml:space="preserve">（1）</w:t>
      </w:r>
      <w:r>
        <w:rPr>
          <w:rFonts w:hint="default" w:eastAsia="宋体" w:asciiTheme="minorAscii" w:hAnsiTheme="minorAscii"/>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default" w:eastAsia="宋体" w:asciiTheme="minorAscii" w:hAnsiTheme="minorAscii"/>
          <w:color w:val="auto"/>
          <w:sz w:val="24"/>
          <w:szCs w:val="24"/>
          <w:highlight w:val="none"/>
        </w:rPr>
      </w:pPr>
      <w:r>
        <w:rPr>
          <w:rFonts w:hint="default" w:ascii="宋体" w:hAnsi="宋体" w:eastAsia="宋体" w:cs="宋体"/>
          <w:color w:val="auto"/>
          <w:sz w:val="24"/>
          <w:szCs w:val="24"/>
          <w:highlight w:val="none"/>
          <w:shd w:val="clear" w:color="auto" w:fill="ffffff"/>
        </w:rPr>
        <w:t xml:space="preserve">（2）</w:t>
      </w:r>
      <w:r>
        <w:rPr>
          <w:rFonts w:hint="default" w:eastAsia="宋体" w:asciiTheme="minorAscii" w:hAnsiTheme="minorAscii"/>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8"/>
      <w:r/>
      <w:bookmarkEnd w:id="7"/>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C.</w:t>
      </w:r>
      <w:r>
        <w:rPr>
          <w:rFonts w:hint="eastAsia" w:ascii="宋体" w:hAnsi="宋体" w:eastAsia="宋体"/>
          <w:b/>
          <w:color w:val="auto"/>
          <w:sz w:val="24"/>
          <w:szCs w:val="24"/>
          <w:highlight w:val="none"/>
        </w:rPr>
        <w:t xml:space="preserve">采购文件</w:t>
      </w:r>
      <w:r>
        <w:rPr>
          <w:rFonts w:hint="eastAsia" w:ascii="宋体" w:hAnsi="宋体" w:eastAsia="宋体" w:cs="Times New Roman"/>
          <w:b/>
          <w:bCs/>
          <w:color w:val="auto"/>
          <w:sz w:val="24"/>
          <w:szCs w:val="20"/>
          <w:highlight w:val="none"/>
          <w:shd w:val="clear" w:color="auto" w:fill="ffffff"/>
        </w:rPr>
        <w:t xml:space="preserve">和</w:t>
      </w:r>
      <w:r>
        <w:rPr>
          <w:rFonts w:hint="eastAsia" w:ascii="宋体" w:hAnsi="宋体" w:eastAsia="宋体" w:cs="Times New Roman"/>
          <w:b/>
          <w:bCs/>
          <w:color w:val="auto"/>
          <w:sz w:val="24"/>
          <w:szCs w:val="20"/>
          <w:highlight w:val="none"/>
          <w:shd w:val="clear" w:color="auto" w:fill="ffffff"/>
          <w:lang w:val="en-US" w:eastAsia="zh-CN"/>
        </w:rPr>
        <w:t xml:space="preserve">投标（响应）文件</w:t>
      </w:r>
      <w:r>
        <w:rPr>
          <w:rFonts w:hint="eastAsia" w:ascii="宋体" w:hAnsi="宋体" w:eastAsia="宋体" w:cs="Times New Roman"/>
          <w:b/>
          <w:bCs/>
          <w:color w:val="auto"/>
          <w:sz w:val="24"/>
          <w:szCs w:val="20"/>
          <w:highlight w:val="none"/>
          <w:shd w:val="clear" w:color="auto" w:fill="ffffff"/>
        </w:rPr>
        <w:t xml:space="preserve">的说明</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采购文件</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olor w:val="auto"/>
          <w:sz w:val="24"/>
          <w:szCs w:val="24"/>
          <w:highlight w:val="none"/>
        </w:rPr>
        <w:t xml:space="preserve">7.1</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总目录所列内容组成，</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没有对采购文件做出实质性响应，其风险由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自行承担，并根据有关条款规定，</w:t>
      </w:r>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val="en-US" w:eastAsia="zh-CN"/>
        </w:rPr>
        <w:t xml:space="preserve">投标（响应）文件</w:t>
      </w:r>
      <w:r>
        <w:rPr>
          <w:rFonts w:hint="eastAsia" w:ascii="宋体" w:hAnsi="宋体" w:eastAsia="宋体" w:cs="宋体"/>
          <w:b/>
          <w:color w:val="auto"/>
          <w:sz w:val="24"/>
          <w:szCs w:val="24"/>
          <w:highlight w:val="none"/>
        </w:rPr>
        <w:t xml:space="preserve">将被视为未实质性响应。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及其补充文件未按规定的方式获得的，采购代理机构对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及其补遗的真实性、完整性不承担任何责任。</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8.</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的询问</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后，若有问题需要询问，应于下载</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后，可通过公告中的联系方式及时提出，采购人或采购代理机构将予以解答。</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和签署合同所需的信息，踏勘现场所发生的费用由供应商自己承担。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10.1根据自身投标需要，供应商可对项目相关情况进行考察，以获取编制</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和签署合同所需的信息。考察现场所发生的费用由供应商自己承担。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的直接资料。供应商</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的澄清或修改</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val="en-US"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进行澄清或修改，澄清或修改不得改变采购标的和资格条件。更正内容作为</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的组成部分，对所有供应商具有约束力。</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，或出于其他合理原因，采购代理机构可依法顺延</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rPr>
        <w:t xml:space="preserve">截止时间和开标时间。</w:t>
      </w:r>
      <w:r/>
    </w:p>
    <w:p>
      <w:pPr>
        <w:pStyle w:val="953"/>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lang w:val="en-US" w:eastAsia="zh-CN"/>
        </w:rPr>
        <w:t xml:space="preserve">响应</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失败或损失由供应商自行负责。</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．提示与要求</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应仔细阅读采购文件的所有内容，按采购文件的要求提供</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，并保证所提供的全</w:t>
      </w:r>
      <w:r>
        <w:rPr>
          <w:rFonts w:ascii="宋体" w:hAnsi="宋体" w:eastAsia="宋体"/>
          <w:color w:val="auto"/>
          <w:sz w:val="24"/>
          <w:szCs w:val="24"/>
          <w:highlight w:val="none"/>
        </w:rPr>
        <w:t xml:space="preserve">部资料的真实性，以使其对</w:t>
      </w:r>
      <w:r>
        <w:rPr>
          <w:rFonts w:hint="eastAsia" w:ascii="宋体" w:hAnsi="宋体" w:eastAsia="宋体"/>
          <w:color w:val="auto"/>
          <w:sz w:val="24"/>
          <w:szCs w:val="24"/>
          <w:highlight w:val="none"/>
          <w:lang w:eastAsia="zh-CN"/>
        </w:rPr>
        <w:t xml:space="preserve">采购文件</w:t>
      </w:r>
      <w:r>
        <w:rPr>
          <w:rFonts w:ascii="宋体" w:hAnsi="宋体" w:eastAsia="宋体"/>
          <w:color w:val="auto"/>
          <w:sz w:val="24"/>
          <w:szCs w:val="24"/>
          <w:highlight w:val="none"/>
        </w:rPr>
        <w:t xml:space="preserve">作出实质性响应，否则，其</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.2无论是否递交</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都应将</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及以后的所有通知、文件等视为保密文件。</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计量单位和使用文字</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中所使用的计量单位，除</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应使用中文编制，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中必须使用其他文字的，必须附有中文译本。对于未附有中文译本和中文译本不准确的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可能引起的对</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投标（响应）文件</w:t>
      </w:r>
      <w:r>
        <w:rPr>
          <w:rFonts w:hint="eastAsia" w:ascii="宋体" w:hAnsi="宋体" w:eastAsia="宋体" w:cs="宋体"/>
          <w:b/>
          <w:color w:val="auto"/>
          <w:sz w:val="24"/>
          <w:highlight w:val="none"/>
        </w:rPr>
        <w:t xml:space="preserve">（报价、资格及技术部分）：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firstLine="482"/>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szCs w:val="22"/>
          <w:highlight w:val="none"/>
        </w:rPr>
        <w:t xml:space="preserve">.3报价明细表</w:t>
      </w:r>
      <w:bookmarkStart w:id="9" w:name="_Hlk193373013"/>
      <w:r>
        <w:rPr>
          <w:rFonts w:hint="eastAsia" w:ascii="宋体" w:hAnsi="宋体" w:eastAsia="宋体" w:cs="宋体"/>
          <w:b/>
          <w:bCs/>
          <w:color w:val="auto"/>
          <w:sz w:val="24"/>
          <w:szCs w:val="24"/>
          <w:highlight w:val="none"/>
          <w:shd w:val="clear" w:color="auto" w:fill="ffffff"/>
        </w:rPr>
        <w:t xml:space="preserve">（格式详见第三章）；</w:t>
      </w:r>
      <w:bookmarkEnd w:id="9"/>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4资格审查</w:t>
      </w:r>
      <w:r>
        <w:rPr>
          <w:rFonts w:hint="eastAsia" w:ascii="宋体" w:hAnsi="宋体" w:eastAsia="宋体" w:cs="宋体"/>
          <w:b/>
          <w:color w:val="auto"/>
          <w:sz w:val="24"/>
          <w:highlight w:val="none"/>
          <w:lang w:eastAsia="zh-CN"/>
        </w:rPr>
        <w:t xml:space="preserve">投标（响应）文件</w:t>
      </w:r>
      <w:r/>
    </w:p>
    <w:tbl>
      <w:tblPr>
        <w:tblStyle w:val="950"/>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bookmarkStart w:id="10"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956"/>
              <w:ind w:firstLine="0"/>
              <w:jc w:val="center"/>
              <w:keepLines w:val="0"/>
              <w:keepNext w:val="0"/>
              <w:pageBreakBefore w:val="0"/>
              <w:widowControl w:val="off"/>
              <w:rPr>
                <w:rFonts w:eastAsia="宋体"/>
                <w:color w:val="auto"/>
                <w:sz w:val="21"/>
                <w:highlight w:val="none"/>
              </w:rPr>
            </w:pPr>
            <w:r>
              <w:rPr>
                <w:rFonts w:hint="eastAsia" w:eastAsia="宋体"/>
                <w:color w:val="auto"/>
                <w:sz w:val="21"/>
                <w:highlight w:val="none"/>
              </w:rPr>
              <w:t xml:space="preserve">评审项</w:t>
            </w:r>
            <w:r/>
          </w:p>
        </w:tc>
        <w:tc>
          <w:tcPr>
            <w:tcW w:w="4767" w:type="dxa"/>
            <w:vAlign w:val="center"/>
            <w:textDirection w:val="lrTb"/>
            <w:noWrap w:val="false"/>
          </w:tcPr>
          <w:p>
            <w:pPr>
              <w:pStyle w:val="956"/>
              <w:ind w:firstLine="0"/>
              <w:jc w:val="center"/>
              <w:keepLines w:val="0"/>
              <w:keepNext w:val="0"/>
              <w:pageBreakBefore w:val="0"/>
              <w:widowControl w:val="off"/>
              <w:rPr>
                <w:rFonts w:eastAsia="宋体"/>
                <w:color w:val="auto"/>
                <w:sz w:val="21"/>
                <w:highlight w:val="none"/>
              </w:rPr>
            </w:pPr>
            <w:r>
              <w:rPr>
                <w:rFonts w:hint="eastAsia" w:eastAsia="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具有独立承担民事责任的能力</w:t>
            </w:r>
            <w:r/>
          </w:p>
        </w:tc>
        <w:tc>
          <w:tcPr>
            <w:tcW w:w="4767"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具有良好的商业信誉和健全的财务会计制度</w:t>
            </w:r>
            <w:r/>
          </w:p>
        </w:tc>
        <w:tc>
          <w:tcPr>
            <w:tcW w:w="4767"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具有履行合同所必需的设备和专业技术能力</w:t>
            </w:r>
            <w:r/>
          </w:p>
        </w:tc>
        <w:tc>
          <w:tcPr>
            <w:tcW w:w="4767"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具有依法缴纳税收和社会保障资金的良好记录</w:t>
            </w:r>
            <w:r/>
          </w:p>
        </w:tc>
        <w:tc>
          <w:tcPr>
            <w:tcW w:w="4767" w:type="dxa"/>
            <w:vAlign w:val="center"/>
            <w:textDirection w:val="lrTb"/>
            <w:noWrap w:val="false"/>
          </w:tcPr>
          <w:p>
            <w:pPr>
              <w:ind w:firstLine="0"/>
              <w:jc w:val="left"/>
              <w:keepLines w:val="0"/>
              <w:keepNext w:val="0"/>
              <w:pageBreakBefore w:val="0"/>
              <w:widowControl w:val="off"/>
              <w:rPr>
                <w:rFonts w:eastAsia="宋体"/>
                <w:color w:val="auto"/>
                <w:sz w:val="21"/>
                <w:highlight w:val="none"/>
              </w:rPr>
            </w:pPr>
            <w:r>
              <w:rPr>
                <w:rFonts w:hint="eastAsia" w:eastAsia="宋体"/>
                <w:color w:val="auto"/>
                <w:sz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法律、行政法规规定的其他条件</w:t>
            </w:r>
            <w:r/>
          </w:p>
        </w:tc>
        <w:tc>
          <w:tcPr>
            <w:tcW w:w="4767"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jc w:val="left"/>
              <w:spacing w:line="240" w:lineRule="auto"/>
              <w:rPr>
                <w:rFonts w:eastAsia="宋体" w:cs="宋体"/>
                <w:color w:val="auto"/>
                <w:sz w:val="21"/>
                <w:szCs w:val="21"/>
                <w:highlight w:val="none"/>
              </w:rPr>
            </w:pPr>
            <w:r>
              <w:rPr>
                <w:rFonts w:hint="eastAsia" w:eastAsia="宋体" w:cs="宋体"/>
                <w:color w:val="auto"/>
                <w:sz w:val="21"/>
                <w:szCs w:val="21"/>
                <w:highlight w:val="none"/>
              </w:rPr>
              <w:t xml:space="preserve">根据《政府采购促进中小企业发展管理办法》（财库〔2020〕46号）等相关规定，本项目：专门面向中小企业。供应商应为中小微企业、监狱企业或残疾人福利性单位。</w:t>
            </w:r>
            <w:r/>
          </w:p>
        </w:tc>
        <w:tc>
          <w:tcPr>
            <w:tcW w:w="4767" w:type="dxa"/>
            <w:vAlign w:val="center"/>
            <w:textDirection w:val="lrTb"/>
            <w:noWrap w:val="false"/>
          </w:tcPr>
          <w:p>
            <w:pPr>
              <w:pStyle w:val="956"/>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供应商提供以下三类文件之一的即符合本条要求，否则，将不享受中小企业扶持政策：</w:t>
            </w:r>
            <w:r/>
          </w:p>
          <w:p>
            <w:pPr>
              <w:pStyle w:val="956"/>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1、中小企业声明函（格式见第三章）；</w:t>
            </w:r>
            <w:r/>
          </w:p>
          <w:p>
            <w:pPr>
              <w:pStyle w:val="956"/>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2、残疾人福利性单位声明函（格式见第三章）；</w:t>
            </w:r>
            <w:r/>
          </w:p>
          <w:p>
            <w:pPr>
              <w:pStyle w:val="956"/>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3、监狱企业证明文件，由省级以上监狱管理局、戒毒管理局（含新疆生产建设兵团）出具。</w:t>
            </w:r>
            <w:r/>
          </w:p>
          <w:p>
            <w:pPr>
              <w:pStyle w:val="956"/>
              <w:jc w:val="left"/>
              <w:spacing w:line="240" w:lineRule="auto"/>
              <w:rPr>
                <w:rFonts w:eastAsia="宋体"/>
                <w:color w:val="auto"/>
                <w:sz w:val="21"/>
                <w:highlight w:val="none"/>
              </w:rPr>
            </w:pPr>
            <w:r>
              <w:rPr>
                <w:rFonts w:hint="eastAsia" w:ascii="宋体" w:hAnsi="宋体" w:eastAsia="宋体" w:cs="宋体"/>
                <w:color w:val="auto"/>
                <w:sz w:val="21"/>
                <w:highlight w:val="none"/>
              </w:rPr>
              <w:t xml:space="preserve">注：若供应商提供的声明函内容不实，或文件材料为虚假材料的，依照《中华人民共和国政府采购法》等相关法律法规处理并报请政府监管部门给予行政处罚。</w:t>
            </w:r>
            <w:r/>
          </w:p>
        </w:tc>
      </w:tr>
      <w:tr>
        <w:trPr>
          <w:jc w:val="center"/>
          <w:trHeight w:val="405"/>
        </w:trPr>
        <w:tc>
          <w:tcPr>
            <w:gridSpan w:val="3"/>
            <w:tcW w:w="10070"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956"/>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956"/>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供应商无需提供相关证明资料，由采购代理机构按照招标文件第二章“21.信用查询”要求执行。</w:t>
            </w:r>
            <w:bookmarkEnd w:id="10"/>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.1.5符合性审查</w:t>
      </w:r>
      <w:r>
        <w:rPr>
          <w:rFonts w:hint="eastAsia" w:ascii="宋体" w:hAnsi="宋体" w:eastAsia="宋体" w:cs="宋体"/>
          <w:b/>
          <w:color w:val="auto"/>
          <w:sz w:val="24"/>
          <w:highlight w:val="none"/>
          <w:lang w:eastAsia="zh-CN"/>
        </w:rPr>
        <w:t xml:space="preserve">投标（响应）文件</w:t>
      </w:r>
      <w:r/>
    </w:p>
    <w:tbl>
      <w:tblPr>
        <w:tblStyle w:val="95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8"/>
        <w:gridCol w:w="4237"/>
        <w:gridCol w:w="4280"/>
      </w:tblGrid>
      <w:tr>
        <w:trPr>
          <w:trHeight w:val="23"/>
        </w:trPr>
        <w:tc>
          <w:tcPr>
            <w:tcW w:w="250" w:type="pct"/>
            <w:vAlign w:val="center"/>
            <w:textDirection w:val="lrTb"/>
            <w:noWrap w:val="false"/>
          </w:tcPr>
          <w:p>
            <w:pPr>
              <w:pStyle w:val="956"/>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63" w:type="pct"/>
            <w:vAlign w:val="center"/>
            <w:textDirection w:val="lrTb"/>
            <w:noWrap w:val="false"/>
          </w:tcPr>
          <w:p>
            <w:pPr>
              <w:pStyle w:val="956"/>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5" w:type="pct"/>
            <w:vAlign w:val="center"/>
            <w:textDirection w:val="lrTb"/>
            <w:noWrap w:val="false"/>
          </w:tcPr>
          <w:p>
            <w:pPr>
              <w:pStyle w:val="956"/>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956"/>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3" w:type="pct"/>
            <w:vAlign w:val="center"/>
            <w:textDirection w:val="lrTb"/>
            <w:noWrap w:val="false"/>
          </w:tcPr>
          <w:p>
            <w:pPr>
              <w:pStyle w:val="95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5" w:type="pct"/>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23"/>
        </w:trPr>
        <w:tc>
          <w:tcPr>
            <w:gridSpan w:val="3"/>
            <w:tcW w:w="500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4237" w:type="dxa"/>
            <w:vAlign w:val="center"/>
            <w:textDirection w:val="lrTb"/>
            <w:noWrap w:val="false"/>
          </w:tcPr>
          <w:p>
            <w:pPr>
              <w:pStyle w:val="956"/>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4280"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2</w:t>
            </w:r>
            <w:r/>
          </w:p>
        </w:tc>
        <w:tc>
          <w:tcPr>
            <w:tcW w:w="4237" w:type="dxa"/>
            <w:vAlign w:val="center"/>
            <w:textDirection w:val="lrTb"/>
            <w:noWrap w:val="false"/>
          </w:tcPr>
          <w:p>
            <w:pPr>
              <w:pStyle w:val="956"/>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4280"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3</w:t>
            </w:r>
            <w:r/>
          </w:p>
        </w:tc>
        <w:tc>
          <w:tcPr>
            <w:tcW w:w="4237" w:type="dxa"/>
            <w:vAlign w:val="center"/>
            <w:textDirection w:val="lrTb"/>
            <w:noWrap w:val="false"/>
          </w:tcPr>
          <w:p>
            <w:pPr>
              <w:pStyle w:val="956"/>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4280"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4</w:t>
            </w:r>
            <w:r/>
          </w:p>
        </w:tc>
        <w:tc>
          <w:tcPr>
            <w:tcW w:w="4237" w:type="dxa"/>
            <w:vAlign w:val="center"/>
            <w:textDirection w:val="lrTb"/>
            <w:noWrap w:val="false"/>
          </w:tcPr>
          <w:p>
            <w:pPr>
              <w:pStyle w:val="956"/>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4280"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5</w:t>
            </w:r>
            <w:r/>
          </w:p>
        </w:tc>
        <w:tc>
          <w:tcPr>
            <w:tcW w:w="4237" w:type="dxa"/>
            <w:vAlign w:val="center"/>
            <w:textDirection w:val="lrTb"/>
            <w:noWrap w:val="false"/>
          </w:tcPr>
          <w:p>
            <w:pPr>
              <w:pStyle w:val="956"/>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与其他单位存在直接控股、管理关系情况表》</w:t>
            </w:r>
            <w:r/>
          </w:p>
        </w:tc>
        <w:tc>
          <w:tcPr>
            <w:tcW w:w="4280"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6</w:t>
            </w:r>
            <w:r/>
          </w:p>
        </w:tc>
        <w:tc>
          <w:tcPr>
            <w:tcW w:w="4237" w:type="dxa"/>
            <w:vAlign w:val="center"/>
            <w:textDirection w:val="lrTb"/>
            <w:noWrap w:val="false"/>
          </w:tcPr>
          <w:p>
            <w:pPr>
              <w:pStyle w:val="956"/>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4280" w:type="dxa"/>
            <w:vAlign w:val="center"/>
            <w:textDirection w:val="lrTb"/>
            <w:noWrap w:val="false"/>
          </w:tcPr>
          <w:p>
            <w:pPr>
              <w:pStyle w:val="956"/>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7</w:t>
            </w:r>
            <w:r/>
          </w:p>
        </w:tc>
        <w:tc>
          <w:tcPr>
            <w:tcW w:w="4237" w:type="dxa"/>
            <w:vAlign w:val="center"/>
            <w:textDirection w:val="lrTb"/>
            <w:noWrap w:val="false"/>
          </w:tcPr>
          <w:p>
            <w:pPr>
              <w:pStyle w:val="956"/>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《拟投入本项目人员配备一览表》</w:t>
            </w:r>
            <w:r/>
          </w:p>
        </w:tc>
        <w:tc>
          <w:tcPr>
            <w:tcW w:w="4280"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8</w:t>
            </w:r>
            <w:r/>
          </w:p>
        </w:tc>
        <w:tc>
          <w:tcPr>
            <w:shd w:val="clear" w:color="auto" w:fill="auto"/>
            <w:tcW w:w="4237" w:type="dxa"/>
            <w:vAlign w:val="center"/>
            <w:textDirection w:val="lrTb"/>
            <w:noWrap w:val="false"/>
          </w:tcPr>
          <w:p>
            <w:pPr>
              <w:pStyle w:val="956"/>
              <w:jc w:val="left"/>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lang w:eastAsia="zh-CN"/>
              </w:rPr>
              <w:t xml:space="preserve">证明材料</w:t>
            </w:r>
            <w:r>
              <w:rPr>
                <w:rFonts w:hint="eastAsia" w:ascii="宋体" w:hAnsi="宋体" w:eastAsia="宋体" w:cs="宋体"/>
                <w:color w:val="auto"/>
                <w:sz w:val="21"/>
                <w:szCs w:val="21"/>
                <w:highlight w:val="none"/>
                <w:lang w:val="en-US" w:eastAsia="zh-CN"/>
              </w:rPr>
              <w:t xml:space="preserve">、相关承诺函</w:t>
            </w:r>
            <w:r/>
          </w:p>
        </w:tc>
        <w:tc>
          <w:tcPr>
            <w:shd w:val="clear" w:color="auto" w:fill="auto"/>
            <w:tcW w:w="4280" w:type="dxa"/>
            <w:vAlign w:val="center"/>
            <w:textDirection w:val="lrTb"/>
            <w:noWrap w:val="false"/>
          </w:tcPr>
          <w:p>
            <w:pPr>
              <w:pStyle w:val="956"/>
              <w:jc w:val="left"/>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rPr>
              <w:t xml:space="preserve">格式自拟</w:t>
            </w:r>
            <w:r/>
          </w:p>
        </w:tc>
      </w:tr>
      <w:tr>
        <w:trPr>
          <w:trHeight w:val="23"/>
        </w:trPr>
        <w:tc>
          <w:tcPr>
            <w:gridSpan w:val="3"/>
            <w:tcW w:w="5000" w:type="pct"/>
            <w:vAlign w:val="center"/>
            <w:textDirection w:val="lrTb"/>
            <w:noWrap w:val="false"/>
          </w:tcPr>
          <w:p>
            <w:pPr>
              <w:pStyle w:val="956"/>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237" w:type="dxa"/>
            <w:vAlign w:val="center"/>
            <w:textDirection w:val="lrTb"/>
            <w:noWrap w:val="false"/>
          </w:tcPr>
          <w:p>
            <w:pPr>
              <w:pStyle w:val="956"/>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4280" w:type="dxa"/>
            <w:vAlign w:val="center"/>
            <w:textDirection w:val="lrTb"/>
            <w:noWrap w:val="false"/>
          </w:tcPr>
          <w:p>
            <w:pPr>
              <w:pStyle w:val="956"/>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50" w:type="pct"/>
            <w:vAlign w:val="center"/>
            <w:textDirection w:val="lrTb"/>
            <w:noWrap w:val="false"/>
          </w:tcPr>
          <w:p>
            <w:pPr>
              <w:pStyle w:val="95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237" w:type="dxa"/>
            <w:vAlign w:val="center"/>
            <w:textDirection w:val="lrTb"/>
            <w:noWrap w:val="false"/>
          </w:tcPr>
          <w:p>
            <w:pPr>
              <w:pStyle w:val="956"/>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《服务实施方案》</w:t>
            </w:r>
            <w:r/>
          </w:p>
        </w:tc>
        <w:tc>
          <w:tcPr>
            <w:tcW w:w="4280" w:type="dxa"/>
            <w:vAlign w:val="center"/>
            <w:textDirection w:val="lrTb"/>
            <w:noWrap w:val="false"/>
          </w:tcPr>
          <w:p>
            <w:pPr>
              <w:pStyle w:val="956"/>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50" w:type="pct"/>
            <w:vAlign w:val="center"/>
            <w:textDirection w:val="lrTb"/>
            <w:noWrap w:val="false"/>
          </w:tcPr>
          <w:p>
            <w:pPr>
              <w:pStyle w:val="956"/>
              <w:jc w:val="center"/>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4237" w:type="dxa"/>
            <w:vAlign w:val="top"/>
            <w:textDirection w:val="lrTb"/>
            <w:noWrap w:val="false"/>
          </w:tcPr>
          <w:p>
            <w:pPr>
              <w:pStyle w:val="956"/>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4280" w:type="dxa"/>
            <w:vAlign w:val="center"/>
            <w:textDirection w:val="lrTb"/>
            <w:noWrap w:val="false"/>
          </w:tcPr>
          <w:p>
            <w:pPr>
              <w:pStyle w:val="956"/>
              <w:jc w:val="both"/>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11"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bookmarkEnd w:id="11"/>
      <w:r/>
      <w:r/>
    </w:p>
    <w:p>
      <w:pPr>
        <w:ind w:firstLine="482"/>
        <w:spacing w:line="360" w:lineRule="auto"/>
        <w:rPr>
          <w:rFonts w:hint="eastAsia" w:ascii="宋体" w:hAnsi="宋体" w:eastAsia="宋体" w:cs="宋体"/>
          <w:b/>
          <w:color w:val="auto"/>
          <w:sz w:val="24"/>
          <w:szCs w:val="24"/>
          <w:highlight w:val="none"/>
        </w:rPr>
      </w:pPr>
      <w:r/>
      <w:bookmarkStart w:id="12" w:name="_Hlk158131259"/>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.1.6</w:t>
      </w:r>
      <w:r>
        <w:rPr>
          <w:rFonts w:hint="eastAsia" w:ascii="宋体" w:hAnsi="宋体" w:eastAsia="宋体"/>
          <w:b/>
          <w:bCs/>
          <w:sz w:val="24"/>
          <w:szCs w:val="24"/>
          <w:highlight w:val="none"/>
        </w:rPr>
        <w:t xml:space="preserve">《类似项目一览表》（格式见第三章）；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cs="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.5款规定的资料。否则，</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制作</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时请与</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资料的真实性，如有虚假或对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所要求说明的情况故意隐瞒或虚报，视为不实质性响应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，响应无效。</w:t>
      </w:r>
      <w:r/>
    </w:p>
    <w:p>
      <w:pPr>
        <w:ind w:firstLine="480"/>
        <w:spacing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中某些条款不响应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提出的全部采购内容与服务要求，须在偏离表中逐条列出，未列出的视同响应。</w:t>
      </w:r>
      <w:bookmarkEnd w:id="12"/>
      <w:r/>
      <w:r/>
    </w:p>
    <w:p>
      <w:pPr>
        <w:ind w:firstLine="482"/>
        <w:spacing w:line="360" w:lineRule="auto"/>
        <w:widowControl/>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（2）磋商过程中如有问题采购代理机构工作人员会及时通</w:t>
      </w:r>
      <w:r>
        <w:rPr>
          <w:rFonts w:hint="eastAsia" w:ascii="宋体" w:hAnsi="宋体" w:eastAsia="宋体"/>
          <w:b/>
          <w:color w:val="auto"/>
          <w:sz w:val="24"/>
          <w:szCs w:val="24"/>
          <w:highlight w:val="none"/>
        </w:rPr>
        <w:t xml:space="preserve">过</w:t>
      </w:r>
      <w:r>
        <w:rPr>
          <w:rFonts w:hint="eastAsia" w:ascii="宋体" w:hAnsi="宋体" w:eastAsia="宋体"/>
          <w:b/>
          <w:color w:val="auto"/>
          <w:sz w:val="24"/>
          <w:szCs w:val="24"/>
          <w:highlight w:val="none"/>
          <w:lang w:val="zh-CN"/>
        </w:rPr>
        <w:t xml:space="preserve">《投标供应商确认函》留存的手机号与供应商联系。请供应商确保该手机号磋商当日通讯畅通，否则因此导致的对供应商不利的后果由供应商自行承担。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w:t>
      </w:r>
      <w:bookmarkStart w:id="13" w:name="_Hlk193374150"/>
      <w:r>
        <w:rPr>
          <w:rFonts w:hint="eastAsia" w:ascii="宋体" w:hAnsi="宋体" w:eastAsia="宋体"/>
          <w:b/>
          <w:color w:val="auto"/>
          <w:sz w:val="24"/>
          <w:szCs w:val="24"/>
          <w:highlight w:val="none"/>
        </w:rPr>
        <w:t xml:space="preserve">电子投标（响应）文件的制作及递交</w:t>
      </w:r>
      <w:bookmarkEnd w:id="13"/>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4" w:name="_Hlk140247794"/>
      <w:r>
        <w:rPr>
          <w:rFonts w:hint="eastAsia" w:ascii="宋体" w:hAnsi="宋体" w:eastAsia="宋体"/>
          <w:color w:val="auto"/>
          <w:sz w:val="24"/>
          <w:szCs w:val="24"/>
          <w:highlight w:val="none"/>
        </w:rPr>
        <w:t xml:space="preserve">15.1</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制作：本项目为网上招投标项目，请供应商插入CA证书</w:t>
      </w:r>
      <w:r>
        <w:rPr>
          <w:rFonts w:hint="eastAsia" w:ascii="宋体" w:hAnsi="宋体" w:eastAsia="宋体"/>
          <w:color w:val="auto"/>
          <w:sz w:val="24"/>
          <w:szCs w:val="24"/>
          <w:highlight w:val="none"/>
          <w:lang w:eastAsia="zh-CN"/>
        </w:rPr>
        <w:t xml:space="preserve">登录</w:t>
      </w:r>
      <w:r>
        <w:rPr>
          <w:rFonts w:hint="eastAsia" w:ascii="宋体" w:hAnsi="宋体" w:eastAsia="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15.2</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递交：供应商应当按照《操作手册》指引，在</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提交截止时间前完成</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的上传，未按要求成功上传的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视为未递交。供应商应充分考虑到网络环境、网络带宽等风险因素，如因供应商自身原因造成的</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重新编制电子投标（响应）文件并递交，否则可能无法解密，因此导致的</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15.3</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未按照</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5" w:name="_Hlk158134955"/>
      <w:r>
        <w:rPr>
          <w:rFonts w:hint="eastAsia" w:ascii="宋体" w:hAnsi="宋体" w:eastAsia="宋体"/>
          <w:color w:val="auto"/>
          <w:sz w:val="24"/>
          <w:szCs w:val="24"/>
          <w:highlight w:val="none"/>
        </w:rPr>
        <w:t xml:space="preserve">15.4联合体投标：如</w:t>
      </w:r>
      <w:r>
        <w:rPr>
          <w:rFonts w:hint="eastAsia" w:ascii="宋体" w:hAnsi="宋体" w:eastAsia="宋体"/>
          <w:color w:val="auto"/>
          <w:sz w:val="24"/>
          <w:szCs w:val="24"/>
          <w:highlight w:val="none"/>
          <w:lang w:eastAsia="zh-CN"/>
        </w:rPr>
        <w:t xml:space="preserve">采购公告</w:t>
      </w:r>
      <w:r>
        <w:rPr>
          <w:rFonts w:hint="eastAsia" w:ascii="宋体" w:hAnsi="宋体" w:eastAsia="宋体"/>
          <w:color w:val="auto"/>
          <w:sz w:val="24"/>
          <w:szCs w:val="24"/>
          <w:highlight w:val="none"/>
        </w:rPr>
        <w:t xml:space="preserve">中允许联合体投标，联合体投标的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制作上传操作如下：</w:t>
      </w:r>
      <w:r/>
    </w:p>
    <w:p>
      <w:pPr>
        <w:pStyle w:val="959"/>
        <w:ind w:left="0" w:firstLine="480"/>
        <w:spacing w:line="360" w:lineRule="auto"/>
        <w:rPr>
          <w:rFonts w:hint="eastAsia" w:ascii="宋体" w:hAnsi="宋体" w:eastAsia="宋体"/>
          <w:bCs/>
          <w:color w:val="auto"/>
          <w:szCs w:val="24"/>
          <w:highlight w:val="none"/>
        </w:rPr>
      </w:pPr>
      <w:r>
        <w:rPr>
          <w:rFonts w:hint="eastAsia" w:ascii="宋体" w:hAnsi="宋体" w:eastAsia="宋体"/>
          <w:color w:val="auto"/>
          <w:szCs w:val="24"/>
          <w:highlight w:val="none"/>
        </w:rPr>
        <w:t xml:space="preserve">第一步：在</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中，由联合体中的牵头人制作</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w:t>
      </w:r>
      <w:bookmarkEnd w:id="15"/>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rPr>
        <w:t xml:space="preserve">15.5如不同</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制作机器码一致，则投标</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无效</w:t>
      </w:r>
      <w:r>
        <w:rPr>
          <w:rFonts w:hint="eastAsia" w:ascii="宋体" w:hAnsi="宋体" w:eastAsia="宋体"/>
          <w:b/>
          <w:bCs/>
          <w:color w:val="auto"/>
          <w:sz w:val="24"/>
          <w:szCs w:val="24"/>
          <w:highlight w:val="none"/>
          <w:lang w:eastAsia="zh-CN"/>
        </w:rPr>
        <w:t xml:space="preserve">。</w:t>
      </w:r>
      <w:bookmarkEnd w:id="14"/>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shd w:val="clear" w:color="auto" w:fill="ffffff"/>
        </w:rPr>
        <w:t xml:space="preserve">报价</w:t>
      </w:r>
      <w:r>
        <w:rPr>
          <w:rFonts w:hint="eastAsia" w:ascii="宋体" w:hAnsi="宋体" w:eastAsia="宋体"/>
          <w:color w:val="auto"/>
          <w:sz w:val="24"/>
          <w:szCs w:val="24"/>
          <w:highlight w:val="none"/>
          <w:shd w:val="clear" w:color="auto" w:fill="ffffff"/>
        </w:rPr>
        <w:t xml:space="preserve">包括完成本项目</w:t>
      </w:r>
      <w:r>
        <w:rPr>
          <w:rFonts w:hint="eastAsia" w:ascii="宋体" w:hAnsi="宋体" w:eastAsia="宋体"/>
          <w:color w:val="auto"/>
          <w:sz w:val="24"/>
          <w:szCs w:val="24"/>
          <w:highlight w:val="none"/>
          <w:shd w:val="clear" w:color="auto" w:fill="ffffff"/>
          <w:lang w:val="en-US" w:eastAsia="zh-CN"/>
        </w:rPr>
        <w:t xml:space="preserve">采购</w:t>
      </w:r>
      <w:r>
        <w:rPr>
          <w:rFonts w:hint="eastAsia" w:ascii="宋体" w:hAnsi="宋体" w:eastAsia="宋体"/>
          <w:color w:val="auto"/>
          <w:sz w:val="24"/>
          <w:szCs w:val="24"/>
          <w:highlight w:val="none"/>
          <w:shd w:val="clear" w:color="auto" w:fill="ffffff"/>
        </w:rPr>
        <w:t xml:space="preserve">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应对</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内所要采购的全部内容进行报价，只投其中部分内容者，其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将被拒绝。但如果</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要求分</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的，则</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可以有选择地只投其中一个或几个</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，也可以投全部</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，但各</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应分别计算填写单价和总价。</w:t>
      </w:r>
      <w:r/>
    </w:p>
    <w:p>
      <w:pPr>
        <w:pStyle w:val="95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一项内容只允许一个报价，</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不接受任何有选择性地报价。</w:t>
      </w:r>
      <w:r/>
    </w:p>
    <w:p>
      <w:pPr>
        <w:pStyle w:val="95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4</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报价中的单价和总价全部采用人民币表示，除非合同的特殊条款另有规定。</w:t>
      </w:r>
      <w:r/>
    </w:p>
    <w:p>
      <w:pPr>
        <w:pStyle w:val="95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最低报价不能作为</w:t>
      </w:r>
      <w:r>
        <w:rPr>
          <w:rFonts w:hint="eastAsia" w:ascii="宋体" w:hAnsi="宋体" w:eastAsia="宋体"/>
          <w:color w:val="auto"/>
          <w:szCs w:val="24"/>
          <w:highlight w:val="none"/>
          <w:lang w:val="en-US" w:eastAsia="zh-CN"/>
        </w:rPr>
        <w:t xml:space="preserve">中标（</w:t>
      </w:r>
      <w:r>
        <w:rPr>
          <w:rFonts w:hint="eastAsia" w:ascii="宋体" w:hAnsi="宋体" w:eastAsia="宋体"/>
          <w:color w:val="auto"/>
          <w:szCs w:val="24"/>
          <w:highlight w:val="none"/>
        </w:rPr>
        <w:t xml:space="preserve">成交</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的保证。</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17</w:t>
      </w:r>
      <w:r>
        <w:rPr>
          <w:rFonts w:ascii="宋体" w:hAnsi="宋体" w:eastAsia="宋体"/>
          <w:b/>
          <w:color w:val="auto"/>
          <w:sz w:val="24"/>
          <w:szCs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17.1中标</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成交</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供应商应按前附表的规定提交履约保证金。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17.2在</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发出的七天内，</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（联合体形式中标</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成交</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开户行：/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17.3</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无故拖延或拒不提交履约保证金的，视为拒绝与采购人签订合同，采购人可以按照评审报告推荐的</w:t>
      </w:r>
      <w:r>
        <w:rPr>
          <w:rFonts w:hint="eastAsia" w:ascii="宋体" w:hAnsi="宋体" w:eastAsia="宋体"/>
          <w:color w:val="auto"/>
          <w:sz w:val="24"/>
          <w:szCs w:val="24"/>
          <w:highlight w:val="none"/>
          <w:shd w:val="clear" w:color="auto" w:fill="ffffff"/>
          <w:lang w:eastAsia="zh-CN"/>
        </w:rPr>
        <w:t xml:space="preserve">中标（成交）候选人</w:t>
      </w:r>
      <w:r>
        <w:rPr>
          <w:rFonts w:hint="eastAsia" w:ascii="宋体" w:hAnsi="宋体" w:eastAsia="宋体"/>
          <w:color w:val="auto"/>
          <w:sz w:val="24"/>
          <w:szCs w:val="24"/>
          <w:highlight w:val="none"/>
          <w:shd w:val="clear" w:color="auto" w:fill="ffffff"/>
        </w:rPr>
        <w:t xml:space="preserve">名单排序，确定下一候选人为</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或者重新开展政府采购活动。</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17.4履约保证金（无息）在服务期满且服务缺陷更正后，</w:t>
      </w:r>
      <w:r>
        <w:rPr>
          <w:rFonts w:hint="eastAsia" w:ascii="宋体" w:hAnsi="宋体" w:eastAsia="宋体"/>
          <w:color w:val="auto"/>
          <w:sz w:val="24"/>
          <w:szCs w:val="24"/>
          <w:highlight w:val="none"/>
          <w:shd w:val="clear" w:color="auto" w:fill="ffffff"/>
          <w:lang w:eastAsia="zh-CN"/>
        </w:rPr>
        <w:t xml:space="preserve">中标（成交）方</w:t>
      </w:r>
      <w:r>
        <w:rPr>
          <w:rFonts w:hint="eastAsia" w:ascii="宋体" w:hAnsi="宋体" w:eastAsia="宋体"/>
          <w:color w:val="auto"/>
          <w:sz w:val="24"/>
          <w:szCs w:val="24"/>
          <w:highlight w:val="none"/>
          <w:shd w:val="clear" w:color="auto" w:fill="ffffff"/>
        </w:rPr>
        <w:t xml:space="preserve">配合采购人和新</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办理移交手续，由采购人确认后退还。如</w:t>
      </w:r>
      <w:r>
        <w:rPr>
          <w:rFonts w:hint="eastAsia" w:ascii="宋体" w:hAnsi="宋体" w:eastAsia="宋体"/>
          <w:color w:val="auto"/>
          <w:sz w:val="24"/>
          <w:szCs w:val="24"/>
          <w:highlight w:val="none"/>
          <w:shd w:val="clear" w:color="auto" w:fill="ffffff"/>
          <w:lang w:eastAsia="zh-CN"/>
        </w:rPr>
        <w:t xml:space="preserve">中标（成交）方</w:t>
      </w:r>
      <w:r>
        <w:rPr>
          <w:rFonts w:hint="eastAsia" w:ascii="宋体" w:hAnsi="宋体" w:eastAsia="宋体"/>
          <w:color w:val="auto"/>
          <w:sz w:val="24"/>
          <w:szCs w:val="24"/>
          <w:highlight w:val="none"/>
          <w:shd w:val="clear" w:color="auto" w:fill="ffffff"/>
        </w:rPr>
        <w:t xml:space="preserve">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的有效期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w:t>
      </w:r>
      <w:r>
        <w:rPr>
          <w:rFonts w:hint="eastAsia" w:ascii="宋体" w:hAnsi="宋体" w:eastAsia="宋体"/>
          <w:color w:val="auto"/>
          <w:sz w:val="24"/>
          <w:highlight w:val="none"/>
          <w:lang w:eastAsia="zh-CN"/>
        </w:rPr>
        <w:t xml:space="preserve">投标（响应）文件</w:t>
      </w:r>
      <w:r>
        <w:rPr>
          <w:rFonts w:hint="eastAsia" w:ascii="宋体" w:hAnsi="宋体" w:eastAsia="宋体"/>
          <w:color w:val="auto"/>
          <w:sz w:val="24"/>
          <w:highlight w:val="none"/>
        </w:rPr>
        <w:t xml:space="preserve">提交截止之日</w:t>
      </w: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应保持有效。有效期短于这个规定期限的响应，将被拒绝。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w:t>
      </w:r>
      <w:r>
        <w:rPr>
          <w:rFonts w:hint="eastAsia" w:ascii="宋体" w:hAnsi="宋体" w:eastAsia="宋体"/>
          <w:color w:val="auto"/>
          <w:sz w:val="24"/>
          <w:szCs w:val="24"/>
          <w:highlight w:val="none"/>
          <w:lang w:eastAsia="zh-CN"/>
        </w:rPr>
        <w:t xml:space="preserve">采购单位</w:t>
      </w:r>
      <w:r>
        <w:rPr>
          <w:rFonts w:hint="eastAsia" w:ascii="宋体" w:hAnsi="宋体" w:eastAsia="宋体"/>
          <w:color w:val="auto"/>
          <w:sz w:val="24"/>
          <w:szCs w:val="24"/>
          <w:highlight w:val="none"/>
        </w:rPr>
        <w:t xml:space="preserve">可与</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协商延长</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的有效期。这种要求和答复都应以书面形式进行。同意延长有效期的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不能修改</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，拒绝接受延期要求的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bookmarkStart w:id="16"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bookmarkStart w:id="17" w:name="_Hlk193374912"/>
      <w:r>
        <w:rPr>
          <w:rFonts w:hint="eastAsia" w:ascii="宋体" w:hAnsi="宋体" w:eastAsia="宋体" w:cs="宋体"/>
          <w:color w:val="auto"/>
          <w:sz w:val="24"/>
          <w:szCs w:val="24"/>
          <w:highlight w:val="none"/>
        </w:rPr>
        <w:t xml:space="preserve">采</w:t>
      </w:r>
      <w:bookmarkEnd w:id="17"/>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w:t>
      </w:r>
      <w:bookmarkStart w:id="18" w:name="_Hlk193374938"/>
      <w:r>
        <w:rPr>
          <w:rFonts w:hint="eastAsia" w:ascii="宋体" w:hAnsi="宋体" w:eastAsia="宋体" w:cs="宋体"/>
          <w:color w:val="auto"/>
          <w:sz w:val="24"/>
          <w:szCs w:val="24"/>
          <w:highlight w:val="none"/>
        </w:rPr>
        <w:t xml:space="preserve">在投标（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bookmarkEnd w:id="18"/>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w:t>
      </w:r>
      <w:bookmarkStart w:id="19"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19"/>
      <w:r/>
      <w:r/>
    </w:p>
    <w:p>
      <w:pPr>
        <w:ind w:firstLine="482"/>
        <w:keepLines w:val="0"/>
        <w:keepNext w:val="0"/>
        <w:pageBreakBefore w:val="0"/>
        <w:spacing w:line="360" w:lineRule="auto"/>
        <w:rPr>
          <w:color w:val="auto"/>
          <w:highlight w:val="none"/>
        </w:rPr>
        <w:outlineLvl w:val="9"/>
      </w:pPr>
      <w:r>
        <w:rPr>
          <w:rFonts w:hint="eastAsia" w:ascii="宋体" w:hAnsi="宋体" w:eastAsia="宋体" w:cs="Times New Roman"/>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磋商程序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已提交</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w:t>
      </w:r>
      <w:r>
        <w:rPr>
          <w:rFonts w:ascii="宋体" w:hAnsi="宋体" w:eastAsia="宋体" w:cs="宋体"/>
          <w:bCs/>
          <w:color w:val="auto"/>
          <w:sz w:val="24"/>
          <w:szCs w:val="24"/>
          <w:highlight w:val="none"/>
          <w:lang w:val="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w:t>
      </w:r>
      <w:r>
        <w:rPr>
          <w:rFonts w:ascii="宋体" w:hAnsi="宋体" w:eastAsia="宋体" w:cs="宋体"/>
          <w:color w:val="auto"/>
          <w:sz w:val="24"/>
          <w:szCs w:val="24"/>
          <w:highlight w:val="none"/>
          <w:lang w:val="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以上磋商活动</w:t>
      </w:r>
      <w:r>
        <w:rPr>
          <w:rFonts w:hint="eastAsia" w:ascii="宋体" w:hAnsi="宋体" w:eastAsia="宋体"/>
          <w:color w:val="auto"/>
          <w:sz w:val="24"/>
          <w:szCs w:val="24"/>
          <w:highlight w:val="none"/>
        </w:rPr>
        <w:t xml:space="preserve">所涉及系统操作，以“苏采云”系统最新要求为准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21.信用查询</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21.1查询时间：</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提交截止时间。</w:t>
      </w:r>
      <w:r/>
    </w:p>
    <w:p>
      <w:pPr>
        <w:ind w:firstLine="480"/>
        <w:jc w:val="left"/>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color w:val="auto"/>
          <w:sz w:val="24"/>
          <w:szCs w:val="24"/>
          <w:highlight w:val="none"/>
        </w:rPr>
        <w:t xml:space="preserve">21.2查询渠道：</w:t>
      </w:r>
      <w:bookmarkStart w:id="20" w:name="_Hlk92794284"/>
      <w:r>
        <w:rPr>
          <w:rFonts w:hint="eastAsia" w:ascii="宋体" w:hAnsi="宋体" w:eastAsia="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bCs/>
          <w:color w:val="auto"/>
          <w:sz w:val="24"/>
          <w:szCs w:val="24"/>
          <w:highlight w:val="none"/>
        </w:rPr>
        <w:t xml:space="preserve">www.jscredit.gov.cn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color w:val="auto"/>
          <w:sz w:val="24"/>
          <w:szCs w:val="24"/>
          <w:highlight w:val="none"/>
        </w:rPr>
        <w:t xml:space="preserve">21.3查询证据留存方式：</w:t>
      </w:r>
      <w:bookmarkEnd w:id="20"/>
      <w:r>
        <w:rPr>
          <w:rFonts w:ascii="宋体" w:hAnsi="宋体" w:eastAsia="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bCs/>
          <w:color w:val="auto"/>
          <w:sz w:val="24"/>
          <w:szCs w:val="24"/>
          <w:highlight w:val="none"/>
          <w:lang w:eastAsia="zh-CN"/>
        </w:rPr>
        <w:t xml:space="preserve">磋商小组</w:t>
      </w:r>
      <w:r>
        <w:rPr>
          <w:rFonts w:ascii="宋体" w:hAnsi="宋体" w:eastAsia="宋体"/>
          <w:bCs/>
          <w:color w:val="auto"/>
          <w:sz w:val="24"/>
          <w:szCs w:val="24"/>
          <w:highlight w:val="none"/>
        </w:rPr>
        <w:t xml:space="preserve">确认的失信信息，</w:t>
      </w:r>
      <w:r>
        <w:rPr>
          <w:rFonts w:hint="eastAsia" w:ascii="宋体" w:hAnsi="宋体" w:eastAsia="宋体"/>
          <w:bCs/>
          <w:color w:val="auto"/>
          <w:sz w:val="24"/>
          <w:szCs w:val="24"/>
          <w:highlight w:val="none"/>
          <w:lang w:eastAsia="zh-CN"/>
        </w:rPr>
        <w:t xml:space="preserve">登录</w:t>
      </w:r>
      <w:r>
        <w:rPr>
          <w:rFonts w:ascii="宋体" w:hAnsi="宋体" w:eastAsia="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21.4信用记录使用规则：</w:t>
      </w:r>
      <w:r>
        <w:rPr>
          <w:rFonts w:hint="eastAsia" w:ascii="宋体" w:hAnsi="宋体" w:eastAsia="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bookmarkStart w:id="21" w:name="_Hlk92794378"/>
      <w:r>
        <w:rPr>
          <w:rFonts w:hint="eastAsia" w:ascii="宋体" w:hAnsi="宋体" w:eastAsia="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1"/>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22</w:t>
      </w:r>
      <w:r>
        <w:rPr>
          <w:rFonts w:hint="eastAsia" w:ascii="宋体" w:hAnsi="宋体" w:eastAsia="宋体"/>
          <w:b/>
          <w:color w:val="auto"/>
          <w:sz w:val="24"/>
          <w:szCs w:val="24"/>
          <w:highlight w:val="none"/>
        </w:rPr>
        <w:t xml:space="preserve">.磋商小组</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.1磋商小组由</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依法组建，由采购单位代表、专家评委组成。</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.2磋商小组负责具体的磋商事务，并独立履行以下职责：</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.2.1审查</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是否符合</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的要求，并做出评价；</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.2.2可以要求</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对</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有关事项做出解释或澄清；</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.2.3推荐</w:t>
      </w:r>
      <w:r>
        <w:rPr>
          <w:rFonts w:hint="eastAsia" w:ascii="宋体" w:hAnsi="宋体" w:eastAsia="宋体"/>
          <w:color w:val="auto"/>
          <w:szCs w:val="24"/>
          <w:highlight w:val="none"/>
          <w:lang w:eastAsia="zh-CN"/>
        </w:rPr>
        <w:t xml:space="preserve">中标（成交）候选</w:t>
      </w:r>
      <w:r>
        <w:rPr>
          <w:rFonts w:hint="eastAsia" w:ascii="宋体" w:hAnsi="宋体" w:eastAsia="宋体"/>
          <w:color w:val="auto"/>
          <w:szCs w:val="24"/>
          <w:highlight w:val="none"/>
        </w:rPr>
        <w:t xml:space="preserve">供应商名单；</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.2.4向</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或者有关部门报告非法干预磋商工作的行为。</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.3磋商小组成员应当履行下列义务：</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.3.1遵纪守法，客观、公正、廉洁地履行职责；</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.3.2按照</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规定的评审办法和评分标准进行评审，对评审意见承担个人责任；</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.3.3对磋商过程和结果，以及</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的商业秘密保密；</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.3.4参与评审报告的起草；</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.3.5配合相关部门的投诉处理工作；</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.3.6配合</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答复</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提出的质疑。</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磋商开始后，直到宣布授予</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合同为止，凡属于审查、澄清、评价和比较</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的所有资料，有关授予合同的信息都不应向</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或与评审无关的其他人泄露。</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在</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的审查、澄清、评价和比较以及授予合同的过程中，</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对</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和磋商小组施加影响的任何行为，都将取消其成交资格。</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在评审期间，</w:t>
      </w:r>
      <w:r>
        <w:rPr>
          <w:rFonts w:hint="eastAsia" w:ascii="宋体" w:hAnsi="宋体" w:eastAsia="宋体"/>
          <w:color w:val="auto"/>
          <w:szCs w:val="24"/>
          <w:highlight w:val="none"/>
          <w:shd w:val="clear" w:color="auto" w:fill="ffffff"/>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初审</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开始磋商后，磋商小组将审查</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是否实质性响应</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的要求、内容是否完整、价格构成有无计算错误、文件签署是否齐全等，</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未按照本须知规定制作的；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未按本须知规定提交资格文件；</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与</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有重大偏离；</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拒绝修正错误；</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的报价是选择性的；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的报价只投了部分内容；</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出现了</w:t>
      </w:r>
      <w:r>
        <w:rPr>
          <w:rFonts w:hint="eastAsia" w:ascii="宋体" w:hAnsi="宋体" w:eastAsia="宋体"/>
          <w:color w:val="auto"/>
          <w:sz w:val="24"/>
          <w:szCs w:val="24"/>
          <w:highlight w:val="none"/>
          <w:lang w:eastAsia="zh-CN"/>
        </w:rPr>
        <w:t xml:space="preserve">磋商小组</w:t>
      </w:r>
      <w:r>
        <w:rPr>
          <w:rFonts w:hint="eastAsia" w:ascii="宋体" w:hAnsi="宋体" w:eastAsia="宋体"/>
          <w:color w:val="auto"/>
          <w:sz w:val="24"/>
          <w:szCs w:val="24"/>
          <w:highlight w:val="none"/>
        </w:rPr>
        <w:t xml:space="preserve">认为不应当雷同的情况；</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.1.8其他被磋商小组认定无效的情况。</w:t>
      </w:r>
      <w:r/>
    </w:p>
    <w:p>
      <w:pPr>
        <w:ind w:firstLine="480"/>
        <w:keepLines w:val="0"/>
        <w:keepNext w:val="0"/>
        <w:pageBreakBefore w:val="0"/>
        <w:spacing w:line="360" w:lineRule="auto"/>
        <w:rPr>
          <w:rFonts w:hint="eastAsia" w:ascii="宋体" w:hAnsi="宋体" w:eastAsia="宋体"/>
          <w:b/>
          <w:color w:val="auto"/>
          <w:sz w:val="24"/>
          <w:szCs w:val="24"/>
          <w:highlight w:val="none"/>
          <w:u w:val="singl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.1</w:t>
      </w:r>
      <w:r>
        <w:rPr>
          <w:rFonts w:hint="eastAsia" w:ascii="宋体" w:hAnsi="宋体" w:eastAsia="宋体" w:cs="宋体"/>
          <w:color w:val="auto"/>
          <w:sz w:val="24"/>
          <w:szCs w:val="24"/>
          <w:highlight w:val="none"/>
          <w:shd w:val="clear" w:color="auto" w:fill="ffffff"/>
        </w:rPr>
        <w:t xml:space="preserve">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供应商不同意以上修正，则其投标将被拒绝。</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的澄清</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对于</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中含义不明确、同类问题表述不一致或者有明显文字和计算错误的内容，</w:t>
      </w:r>
      <w:r>
        <w:rPr>
          <w:rFonts w:hint="eastAsia" w:ascii="宋体" w:hAnsi="宋体" w:eastAsia="宋体"/>
          <w:color w:val="auto"/>
          <w:sz w:val="24"/>
          <w:szCs w:val="24"/>
          <w:highlight w:val="none"/>
          <w:lang w:eastAsia="zh-CN"/>
        </w:rPr>
        <w:t xml:space="preserve">磋商小组</w:t>
      </w:r>
      <w:r>
        <w:rPr>
          <w:rFonts w:ascii="宋体" w:hAnsi="宋体" w:eastAsia="宋体"/>
          <w:color w:val="auto"/>
          <w:sz w:val="24"/>
          <w:szCs w:val="24"/>
          <w:highlight w:val="none"/>
        </w:rPr>
        <w:t xml:space="preserve">应当要求</w:t>
      </w:r>
      <w:r>
        <w:rPr>
          <w:rFonts w:hint="eastAsia" w:ascii="宋体" w:hAnsi="宋体" w:eastAsia="宋体"/>
          <w:color w:val="auto"/>
          <w:sz w:val="24"/>
          <w:szCs w:val="24"/>
          <w:highlight w:val="none"/>
        </w:rPr>
        <w:t xml:space="preserve">供应商做</w:t>
      </w:r>
      <w:r>
        <w:rPr>
          <w:rFonts w:ascii="宋体" w:hAnsi="宋体" w:eastAsia="宋体"/>
          <w:color w:val="auto"/>
          <w:sz w:val="24"/>
          <w:szCs w:val="24"/>
          <w:highlight w:val="none"/>
        </w:rPr>
        <w:t xml:space="preserve">出必要的澄清、说明或者补正。</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的澄清、说明或者补正不得超出</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的范围或者改变</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的实质性内容。</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bookmarkStart w:id="22" w:name="_Hlk158140503"/>
      <w:r/>
      <w:bookmarkStart w:id="23" w:name="_Hlk158140452"/>
      <w:r/>
      <w:bookmarkStart w:id="24" w:name="_Hlk90656398"/>
      <w:r>
        <w:rPr>
          <w:rFonts w:hint="eastAsia" w:ascii="宋体" w:hAnsi="宋体" w:eastAsia="宋体"/>
          <w:color w:val="auto"/>
          <w:sz w:val="24"/>
          <w:szCs w:val="24"/>
          <w:highlight w:val="none"/>
          <w:shd w:val="clear" w:color="auto" w:fill="ffffff"/>
        </w:rPr>
        <w:t xml:space="preserve">25.2本项目采用线上澄清</w:t>
      </w:r>
      <w:bookmarkEnd w:id="22"/>
      <w:r>
        <w:rPr>
          <w:rFonts w:hint="eastAsia" w:ascii="宋体" w:hAnsi="宋体" w:eastAsia="宋体"/>
          <w:color w:val="auto"/>
          <w:sz w:val="24"/>
          <w:szCs w:val="24"/>
          <w:highlight w:val="none"/>
          <w:shd w:val="clear" w:color="auto" w:fill="ffffff"/>
        </w:rPr>
        <w:t xml:space="preserve">。</w:t>
      </w:r>
      <w:bookmarkEnd w:id="23"/>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25.2.1线上澄清答复的方式：需要供应商进行澄清、说明和更正的，</w:t>
      </w:r>
      <w:r>
        <w:rPr>
          <w:rFonts w:hint="eastAsia" w:ascii="宋体" w:hAnsi="宋体" w:eastAsia="宋体"/>
          <w:color w:val="auto"/>
          <w:sz w:val="24"/>
          <w:szCs w:val="24"/>
          <w:highlight w:val="none"/>
          <w:shd w:val="clear" w:color="auto" w:fill="ffffff"/>
          <w:lang w:eastAsia="zh-CN"/>
        </w:rPr>
        <w:t xml:space="preserve">磋商小组</w:t>
      </w:r>
      <w:r>
        <w:rPr>
          <w:rFonts w:hint="eastAsia" w:ascii="宋体" w:hAnsi="宋体" w:eastAsia="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olor w:val="auto"/>
          <w:sz w:val="24"/>
          <w:szCs w:val="24"/>
          <w:highlight w:val="none"/>
          <w:shd w:val="clear" w:color="auto" w:fill="ffffff"/>
          <w:lang w:eastAsia="zh-CN"/>
        </w:rPr>
        <w:t xml:space="preserve">投标（响应）文件</w:t>
      </w:r>
      <w:r>
        <w:rPr>
          <w:rFonts w:hint="eastAsia" w:ascii="宋体" w:hAnsi="宋体" w:eastAsia="宋体"/>
          <w:color w:val="auto"/>
          <w:sz w:val="24"/>
          <w:szCs w:val="24"/>
          <w:highlight w:val="none"/>
          <w:shd w:val="clear" w:color="auto" w:fill="ffffff"/>
        </w:rPr>
        <w:t xml:space="preserve">的补充部分，具体操作方式见《操作手册》。未加盖CA电子公章的澄清无效。</w:t>
      </w:r>
      <w:r/>
    </w:p>
    <w:p>
      <w:pPr>
        <w:ind w:firstLine="480"/>
        <w:keepLines w:val="0"/>
        <w:keepNext w:val="0"/>
        <w:pageBreakBefore w:val="0"/>
        <w:spacing w:line="360" w:lineRule="auto"/>
        <w:rPr>
          <w:color w:val="auto"/>
          <w:highlight w:val="none"/>
        </w:rPr>
        <w:outlineLvl w:val="9"/>
      </w:pPr>
      <w:r>
        <w:rPr>
          <w:rFonts w:hint="eastAsia" w:ascii="宋体" w:hAnsi="宋体" w:eastAsia="宋体"/>
          <w:color w:val="auto"/>
          <w:sz w:val="24"/>
          <w:szCs w:val="24"/>
          <w:highlight w:val="none"/>
          <w:shd w:val="clear" w:color="auto" w:fill="ffffff"/>
        </w:rPr>
        <w:t xml:space="preserve">25.2.2接到</w:t>
      </w:r>
      <w:r>
        <w:rPr>
          <w:rFonts w:hint="eastAsia" w:ascii="宋体" w:hAnsi="宋体" w:eastAsia="宋体"/>
          <w:color w:val="auto"/>
          <w:sz w:val="24"/>
          <w:szCs w:val="24"/>
          <w:highlight w:val="none"/>
          <w:shd w:val="clear" w:color="auto" w:fill="ffffff"/>
          <w:lang w:eastAsia="zh-CN"/>
        </w:rPr>
        <w:t xml:space="preserve">磋商小组</w:t>
      </w:r>
      <w:r>
        <w:rPr>
          <w:rFonts w:hint="eastAsia" w:ascii="宋体" w:hAnsi="宋体" w:eastAsia="宋体"/>
          <w:color w:val="auto"/>
          <w:sz w:val="24"/>
          <w:szCs w:val="24"/>
          <w:highlight w:val="none"/>
          <w:shd w:val="clear" w:color="auto" w:fill="ffffff"/>
        </w:rPr>
        <w:t xml:space="preserve">澄清、说明和更正要求的供应商如未按规定做出澄清、说明和更正，其风险由供应商自行承担。</w:t>
      </w:r>
      <w:bookmarkEnd w:id="24"/>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项目的终止</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ascii="宋体" w:hAnsi="宋体" w:eastAsia="宋体"/>
          <w:bCs/>
          <w:color w:val="auto"/>
          <w:sz w:val="24"/>
          <w:szCs w:val="24"/>
          <w:highlight w:val="none"/>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3在采购过程中符合要求的供应商或者报价未超过采购预算的供应商不足</w:t>
      </w:r>
      <w:r>
        <w:rPr>
          <w:rFonts w:hint="eastAsia" w:ascii="宋体" w:hAnsi="宋体" w:eastAsia="宋体"/>
          <w:bCs/>
          <w:color w:val="auto"/>
          <w:sz w:val="24"/>
          <w:szCs w:val="24"/>
          <w:highlight w:val="none"/>
        </w:rPr>
        <w:t xml:space="preserve">3</w:t>
      </w:r>
      <w:r>
        <w:rPr>
          <w:rFonts w:ascii="宋体" w:hAnsi="宋体" w:eastAsia="宋体"/>
          <w:bCs/>
          <w:color w:val="auto"/>
          <w:sz w:val="24"/>
          <w:szCs w:val="24"/>
          <w:highlight w:val="none"/>
        </w:rPr>
        <w:t xml:space="preserve">家的；</w:t>
      </w:r>
      <w:r/>
    </w:p>
    <w:p>
      <w:pPr>
        <w:ind w:firstLine="480"/>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4在采购活动中因重大变故，采购任务取消的。</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的评价和比较</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.1磋商小组将依据采购文件的规定，按第六章的评审办法对所有参加磋商的供应商的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进行实质性响应的评价，并确定参加单一磋商的实质性响应采购文件的供应商。</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olor w:val="auto"/>
          <w:sz w:val="24"/>
          <w:szCs w:val="24"/>
          <w:highlight w:val="none"/>
          <w:lang w:eastAsia="zh-CN"/>
        </w:rPr>
        <w:t xml:space="preserve">中标（成交）候选人</w:t>
      </w:r>
      <w:r>
        <w:rPr>
          <w:rFonts w:hint="eastAsia" w:ascii="宋体" w:hAnsi="宋体" w:eastAsia="宋体"/>
          <w:color w:val="auto"/>
          <w:sz w:val="24"/>
          <w:szCs w:val="24"/>
          <w:highlight w:val="none"/>
        </w:rPr>
        <w:t xml:space="preserve">，其中最后评审得分最高的供应商为第一</w:t>
      </w:r>
      <w:r>
        <w:rPr>
          <w:rFonts w:hint="eastAsia" w:ascii="宋体" w:hAnsi="宋体" w:eastAsia="宋体"/>
          <w:color w:val="auto"/>
          <w:sz w:val="24"/>
          <w:szCs w:val="24"/>
          <w:highlight w:val="none"/>
          <w:lang w:eastAsia="zh-CN"/>
        </w:rPr>
        <w:t xml:space="preserve">中标（成交）候选</w:t>
      </w:r>
      <w:r>
        <w:rPr>
          <w:rFonts w:hint="eastAsia" w:ascii="宋体" w:hAnsi="宋体" w:eastAsia="宋体"/>
          <w:color w:val="auto"/>
          <w:sz w:val="24"/>
          <w:szCs w:val="24"/>
          <w:highlight w:val="none"/>
        </w:rPr>
        <w:t xml:space="preserve">供应商，并编写评审报告。</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中标（成交）单位</w:t>
      </w:r>
      <w:r>
        <w:rPr>
          <w:rFonts w:hint="eastAsia" w:ascii="宋体" w:hAnsi="宋体" w:eastAsia="宋体"/>
          <w:b/>
          <w:color w:val="auto"/>
          <w:sz w:val="24"/>
          <w:szCs w:val="24"/>
          <w:highlight w:val="none"/>
        </w:rPr>
        <w:t xml:space="preserve">的确认</w:t>
      </w:r>
      <w:r/>
    </w:p>
    <w:p>
      <w:pPr>
        <w:pStyle w:val="953"/>
        <w:ind w:firstLine="502"/>
        <w:jc w:val="both"/>
        <w:keepLines w:val="0"/>
        <w:keepNext w:val="0"/>
        <w:pageBreakBefore w:val="0"/>
        <w:spacing w:line="348"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2</w:t>
      </w:r>
      <w:r>
        <w:rPr>
          <w:rFonts w:hint="eastAsia" w:ascii="宋体" w:hAnsi="宋体" w:eastAsia="宋体"/>
          <w:color w:val="auto"/>
          <w:szCs w:val="24"/>
          <w:highlight w:val="none"/>
          <w:lang w:val="en-US" w:eastAsia="zh-CN"/>
        </w:rPr>
        <w:t xml:space="preserve">8</w:t>
      </w:r>
      <w:r>
        <w:rPr>
          <w:rFonts w:hint="eastAsia" w:ascii="宋体" w:hAnsi="宋体" w:eastAsia="宋体"/>
          <w:color w:val="auto"/>
          <w:szCs w:val="24"/>
          <w:highlight w:val="none"/>
        </w:rPr>
        <w:t xml:space="preserve">.1磋商小组根据</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资格审查情况，以及对</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进行评价和比较，按照评审办法和标准进行评审，并根据采购人的委托，按照</w:t>
      </w:r>
      <w:r>
        <w:rPr>
          <w:rFonts w:hint="eastAsia" w:ascii="宋体" w:hAnsi="宋体" w:eastAsia="宋体"/>
          <w:color w:val="auto"/>
          <w:szCs w:val="24"/>
          <w:highlight w:val="none"/>
          <w:lang w:eastAsia="zh-CN"/>
        </w:rPr>
        <w:t xml:space="preserve">中标（成交）候选人</w:t>
      </w:r>
      <w:r>
        <w:rPr>
          <w:rFonts w:hint="eastAsia" w:ascii="宋体" w:hAnsi="宋体" w:eastAsia="宋体"/>
          <w:color w:val="auto"/>
          <w:szCs w:val="24"/>
          <w:highlight w:val="none"/>
        </w:rPr>
        <w:t xml:space="preserve">的顺序在</w:t>
      </w:r>
      <w:r>
        <w:rPr>
          <w:rFonts w:hint="eastAsia" w:ascii="宋体" w:hAnsi="宋体" w:eastAsia="宋体"/>
          <w:color w:val="auto"/>
          <w:szCs w:val="24"/>
          <w:highlight w:val="none"/>
          <w:lang w:eastAsia="zh-CN"/>
        </w:rPr>
        <w:t xml:space="preserve">中标（成交）候选人</w:t>
      </w:r>
      <w:r>
        <w:rPr>
          <w:rFonts w:hint="eastAsia" w:ascii="宋体" w:hAnsi="宋体" w:eastAsia="宋体"/>
          <w:color w:val="auto"/>
          <w:szCs w:val="24"/>
          <w:highlight w:val="none"/>
        </w:rPr>
        <w:t xml:space="preserve">中直接确定</w:t>
      </w:r>
      <w:r>
        <w:rPr>
          <w:rFonts w:hint="eastAsia" w:ascii="宋体" w:hAnsi="宋体" w:eastAsia="宋体"/>
          <w:color w:val="auto"/>
          <w:szCs w:val="24"/>
          <w:highlight w:val="none"/>
          <w:lang w:eastAsia="zh-CN"/>
        </w:rPr>
        <w:t xml:space="preserve">中标（成交）人</w:t>
      </w:r>
      <w:r>
        <w:rPr>
          <w:rFonts w:hint="eastAsia" w:ascii="宋体" w:hAnsi="宋体" w:eastAsia="宋体"/>
          <w:color w:val="auto"/>
          <w:szCs w:val="24"/>
          <w:highlight w:val="none"/>
        </w:rPr>
        <w:t xml:space="preserve">。</w:t>
      </w:r>
      <w:r/>
    </w:p>
    <w:p>
      <w:pPr>
        <w:pStyle w:val="953"/>
        <w:ind w:firstLine="502"/>
        <w:jc w:val="both"/>
        <w:keepLines w:val="0"/>
        <w:keepNext w:val="0"/>
        <w:pageBreakBefore w:val="0"/>
        <w:spacing w:line="348"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2</w:t>
      </w:r>
      <w:r>
        <w:rPr>
          <w:rFonts w:hint="eastAsia" w:ascii="宋体" w:hAnsi="宋体" w:eastAsia="宋体"/>
          <w:color w:val="auto"/>
          <w:szCs w:val="24"/>
          <w:highlight w:val="none"/>
          <w:lang w:val="en-US" w:eastAsia="zh-CN"/>
        </w:rPr>
        <w:t xml:space="preserve">8</w:t>
      </w:r>
      <w:r>
        <w:rPr>
          <w:rFonts w:hint="eastAsia" w:ascii="宋体" w:hAnsi="宋体" w:eastAsia="宋体"/>
          <w:color w:val="auto"/>
          <w:szCs w:val="24"/>
          <w:highlight w:val="none"/>
        </w:rPr>
        <w:t xml:space="preserve">.2经磋商小组评审并确定</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后，采购人将在规定的时间内将</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在相关媒体上予以公告。参加磋商的各</w:t>
      </w:r>
      <w:r>
        <w:rPr>
          <w:rFonts w:hint="eastAsia" w:ascii="宋体" w:hAnsi="宋体" w:eastAsia="宋体"/>
          <w:color w:val="auto"/>
          <w:szCs w:val="24"/>
          <w:highlight w:val="none"/>
          <w:lang w:val="en-US" w:eastAsia="zh-CN"/>
        </w:rPr>
        <w:t xml:space="preserve">投标（</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单位如对公告结果有异议，应在</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公告期满后七个工作日内，以书面形式向采购人提出质疑，同时该质疑应有</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法定代表人或参加磋商的代理人签署。采购人将在收到经</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法定代表人或参加响应供应商的代理人签署的书面质疑后七个工作日内，对质疑内容做出答复。如</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未在</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公告期满后七个工作日内向采购人提出质疑或质疑未经</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法定代表人或参加磋商的代理人签署的，采购人有权对该质疑不予答复。</w:t>
      </w:r>
      <w:r/>
    </w:p>
    <w:p>
      <w:pPr>
        <w:ind w:firstLine="482"/>
        <w:keepLines w:val="0"/>
        <w:keepNext w:val="0"/>
        <w:pageBreakBefore w:val="0"/>
        <w:spacing w:line="360" w:lineRule="auto"/>
        <w:rPr>
          <w:rFonts w:hint="eastAsia" w:ascii="宋体" w:hAnsi="宋体" w:eastAsia="宋体" w:cs="Times New Roman"/>
          <w:b/>
          <w:color w:val="auto"/>
          <w:sz w:val="24"/>
          <w:szCs w:val="24"/>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将把合同授予其</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在实质上响应</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要求和按本须知规定评选出的</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。确定为</w:t>
      </w:r>
      <w:r>
        <w:rPr>
          <w:rFonts w:hint="eastAsia" w:ascii="宋体" w:hAnsi="宋体" w:eastAsia="宋体"/>
          <w:color w:val="auto"/>
          <w:szCs w:val="24"/>
          <w:highlight w:val="none"/>
          <w:lang w:eastAsia="zh-CN"/>
        </w:rPr>
        <w:t xml:space="preserve">中标（成交）的供应商</w:t>
      </w:r>
      <w:r>
        <w:rPr>
          <w:rFonts w:hint="eastAsia" w:ascii="宋体" w:hAnsi="宋体" w:eastAsia="宋体"/>
          <w:color w:val="auto"/>
          <w:szCs w:val="24"/>
          <w:highlight w:val="none"/>
        </w:rPr>
        <w:t xml:space="preserve">必须具有实施本合同的能力和资源。</w:t>
      </w:r>
      <w:r/>
    </w:p>
    <w:p>
      <w:pPr>
        <w:ind w:firstLine="482"/>
        <w:keepLines w:val="0"/>
        <w:keepNext w:val="0"/>
        <w:pageBreakBefore w:val="0"/>
        <w:spacing w:line="360" w:lineRule="auto"/>
        <w:rPr>
          <w:rFonts w:hint="eastAsia" w:ascii="宋体" w:hAnsi="宋体" w:eastAsia="宋体"/>
          <w:b/>
          <w:color w:val="auto"/>
          <w:sz w:val="24"/>
          <w:szCs w:val="24"/>
          <w:highlight w:val="none"/>
          <w:lang w:eastAsia="zh-CN"/>
        </w:rPr>
        <w:outlineLvl w:val="9"/>
      </w:pPr>
      <w:r>
        <w:rPr>
          <w:rFonts w:hint="eastAsia" w:ascii="宋体" w:hAnsi="宋体" w:eastAsia="宋体"/>
          <w:b/>
          <w:color w:val="auto"/>
          <w:sz w:val="24"/>
          <w:szCs w:val="24"/>
          <w:highlight w:val="none"/>
          <w:lang w:val="en-US" w:eastAsia="zh-CN"/>
        </w:rPr>
        <w:t xml:space="preserve">30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中标（成交）通知书</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30.1在公告</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的同时，采购人或者采购代理机构应当向</w:t>
      </w:r>
      <w:r>
        <w:rPr>
          <w:rFonts w:hint="eastAsia" w:ascii="宋体" w:hAnsi="宋体" w:eastAsia="宋体"/>
          <w:color w:val="auto"/>
          <w:sz w:val="24"/>
          <w:szCs w:val="24"/>
          <w:highlight w:val="none"/>
          <w:shd w:val="clear" w:color="auto" w:fill="ffffff"/>
          <w:lang w:eastAsia="zh-CN"/>
        </w:rPr>
        <w:t xml:space="preserve">中标（成交）人</w:t>
      </w:r>
      <w:r>
        <w:rPr>
          <w:rFonts w:hint="eastAsia" w:ascii="宋体" w:hAnsi="宋体" w:eastAsia="宋体"/>
          <w:color w:val="auto"/>
          <w:sz w:val="24"/>
          <w:szCs w:val="24"/>
          <w:highlight w:val="none"/>
          <w:shd w:val="clear" w:color="auto" w:fill="ffffff"/>
        </w:rPr>
        <w:t xml:space="preserve">发出</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将在“苏采云”系统中发出，</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发出之日视为</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领取之日），请</w:t>
      </w:r>
      <w:r>
        <w:rPr>
          <w:rFonts w:hint="eastAsia" w:ascii="宋体" w:hAnsi="宋体" w:eastAsia="宋体"/>
          <w:color w:val="auto"/>
          <w:sz w:val="24"/>
          <w:szCs w:val="24"/>
          <w:highlight w:val="none"/>
          <w:shd w:val="clear" w:color="auto" w:fill="ffffff"/>
          <w:lang w:eastAsia="zh-CN"/>
        </w:rPr>
        <w:t xml:space="preserve">中标（成交）人</w:t>
      </w:r>
      <w:r>
        <w:rPr>
          <w:rFonts w:hint="eastAsia" w:ascii="宋体" w:hAnsi="宋体" w:eastAsia="宋体"/>
          <w:color w:val="auto"/>
          <w:sz w:val="24"/>
          <w:szCs w:val="24"/>
          <w:highlight w:val="none"/>
          <w:shd w:val="clear" w:color="auto" w:fill="ffffff"/>
        </w:rPr>
        <w:t xml:space="preserve">在</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公告届满之日起30日内,使用CA数字证书登录“苏采云”系统及时下载</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。因系统存储空间有限，自</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公告届满之日起30日后，“苏采云”系统不再保证提供下载</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服务,因未及时下载而造成的不利后果由</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自行承担。对未通过资格审查的供应商，应当告知其未通过的原因。未</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须在</w:t>
      </w:r>
      <w:r>
        <w:rPr>
          <w:rFonts w:hint="eastAsia" w:ascii="宋体" w:hAnsi="宋体" w:eastAsia="宋体"/>
          <w:color w:val="auto"/>
          <w:sz w:val="24"/>
          <w:szCs w:val="24"/>
          <w:highlight w:val="none"/>
          <w:shd w:val="clear" w:color="auto" w:fill="ffffff"/>
          <w:lang w:eastAsia="zh-CN"/>
        </w:rPr>
        <w:t xml:space="preserve">中标（成交）公告</w:t>
      </w:r>
      <w:r>
        <w:rPr>
          <w:rFonts w:hint="eastAsia" w:ascii="宋体" w:hAnsi="宋体" w:eastAsia="宋体"/>
          <w:color w:val="auto"/>
          <w:sz w:val="24"/>
          <w:szCs w:val="24"/>
          <w:highlight w:val="none"/>
          <w:shd w:val="clear" w:color="auto" w:fill="ffffff"/>
        </w:rPr>
        <w:t xml:space="preserve">发出之日起2个工作日内向采购代理机构另行提供用以接收《未</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color w:val="auto"/>
          <w:highlight w:val="none"/>
        </w:rPr>
        <w:outlineLvl w:val="9"/>
      </w:pPr>
      <w:r>
        <w:rPr>
          <w:rFonts w:hint="eastAsia" w:ascii="宋体" w:hAnsi="宋体" w:eastAsia="宋体"/>
          <w:color w:val="auto"/>
          <w:sz w:val="24"/>
          <w:szCs w:val="24"/>
          <w:highlight w:val="none"/>
          <w:shd w:val="clear" w:color="auto" w:fill="ffffff"/>
        </w:rPr>
        <w:t xml:space="preserve">30.2采购人或采购代理机构对未</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不承担解释</w:t>
      </w:r>
      <w:r>
        <w:rPr>
          <w:rFonts w:hint="eastAsia" w:ascii="宋体" w:hAnsi="宋体" w:eastAsia="宋体"/>
          <w:color w:val="auto"/>
          <w:sz w:val="24"/>
          <w:szCs w:val="24"/>
          <w:highlight w:val="none"/>
          <w:shd w:val="clear" w:color="auto" w:fill="ffffff"/>
          <w:lang w:eastAsia="zh-CN"/>
        </w:rPr>
        <w:t xml:space="preserve">未中标（成交）原因</w:t>
      </w:r>
      <w:r>
        <w:rPr>
          <w:rFonts w:hint="eastAsia" w:ascii="宋体" w:hAnsi="宋体" w:eastAsia="宋体"/>
          <w:color w:val="auto"/>
          <w:sz w:val="24"/>
          <w:szCs w:val="24"/>
          <w:highlight w:val="none"/>
          <w:shd w:val="clear" w:color="auto" w:fill="ffffff"/>
        </w:rPr>
        <w:t xml:space="preserve">的义务。</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30.3</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将成为合同的组成部分。</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31</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应按采购单位规定的时间和地点，由法定代表人或代理人与甲方代表签订合同。</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31</w:t>
      </w:r>
      <w:r>
        <w:rPr>
          <w:rFonts w:hint="eastAsia" w:ascii="宋体" w:hAnsi="宋体" w:eastAsia="宋体"/>
          <w:color w:val="auto"/>
          <w:szCs w:val="24"/>
          <w:highlight w:val="none"/>
        </w:rPr>
        <w:t xml:space="preserve">.2签订合同及合同条款应以</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和</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的</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及其澄清文件为依据。</w:t>
      </w:r>
      <w:r/>
    </w:p>
    <w:p>
      <w:pPr>
        <w:ind w:firstLine="482"/>
        <w:keepLines w:val="0"/>
        <w:keepNext w:val="0"/>
        <w:pageBreakBefore w:val="0"/>
        <w:spacing w:line="360" w:lineRule="auto"/>
        <w:rPr>
          <w:rFonts w:hint="eastAsia" w:ascii="宋体" w:hAnsi="宋体" w:eastAsia="宋体"/>
          <w:b/>
          <w:color w:val="auto"/>
          <w:sz w:val="24"/>
          <w:szCs w:val="24"/>
          <w:highlight w:val="none"/>
          <w:shd w:val="clear" w:color="auto" w:fill="ffffff"/>
        </w:rPr>
        <w:outlineLvl w:val="9"/>
      </w:pPr>
      <w:r>
        <w:rPr>
          <w:rFonts w:hint="eastAsia" w:ascii="宋体" w:hAnsi="宋体" w:eastAsia="宋体"/>
          <w:b/>
          <w:bCs/>
          <w:color w:val="auto"/>
          <w:sz w:val="24"/>
          <w:highlight w:val="none"/>
          <w:shd w:val="clear" w:color="auto" w:fill="ffffff"/>
        </w:rPr>
        <w:t xml:space="preserve">F.其他事项</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32</w:t>
      </w:r>
      <w:r>
        <w:rPr>
          <w:rFonts w:ascii="宋体" w:hAnsi="宋体" w:eastAsia="宋体"/>
          <w:b/>
          <w:color w:val="auto"/>
          <w:sz w:val="24"/>
          <w:szCs w:val="24"/>
          <w:highlight w:val="none"/>
        </w:rPr>
        <w:t xml:space="preserve">.质疑</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.1质疑及答复遵守《政府采购质疑和投诉办法》（中华人民共和国财政部令第94号）规定。</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③对</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提出质疑的，为</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rPr>
        <w:t xml:space="preserve">对采购文件内容质疑时，需提供在采购交易系统中下载本项目</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的</w:t>
      </w:r>
      <w:bookmarkStart w:id="25" w:name="_Hlk159144357"/>
      <w:r>
        <w:rPr>
          <w:rFonts w:hint="eastAsia" w:ascii="宋体" w:hAnsi="宋体" w:eastAsia="宋体"/>
          <w:b/>
          <w:bCs/>
          <w:color w:val="auto"/>
          <w:sz w:val="24"/>
          <w:szCs w:val="24"/>
          <w:highlight w:val="none"/>
        </w:rPr>
        <w:t xml:space="preserve">《投标供应商确认函》</w:t>
      </w:r>
      <w:bookmarkEnd w:id="25"/>
      <w:r>
        <w:rPr>
          <w:rFonts w:hint="eastAsia" w:ascii="宋体" w:hAnsi="宋体" w:eastAsia="宋体"/>
          <w:b/>
          <w:bCs/>
          <w:color w:val="auto"/>
          <w:sz w:val="24"/>
          <w:szCs w:val="24"/>
          <w:highlight w:val="none"/>
        </w:rPr>
        <w:t xml:space="preserve">，未提供的视为未依照采购公告要求获取</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olor w:val="auto"/>
          <w:sz w:val="24"/>
          <w:szCs w:val="24"/>
          <w:highlight w:val="none"/>
        </w:rPr>
        <w:t xml:space="preserve">政府采购供应商质疑函范本</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.6</w:t>
      </w:r>
      <w:bookmarkStart w:id="26" w:name="_Hlk193378265"/>
      <w:r>
        <w:rPr>
          <w:rFonts w:hint="eastAsia" w:ascii="宋体" w:hAnsi="宋体" w:eastAsia="宋体"/>
          <w:color w:val="auto"/>
          <w:sz w:val="24"/>
          <w:szCs w:val="24"/>
          <w:highlight w:val="none"/>
        </w:rPr>
        <w:t xml:space="preserve">供应商提出书面质疑必须有理、有据，不得捏造事实、提供虚假材料进行恶意质疑。</w:t>
      </w:r>
      <w:r>
        <w:rPr>
          <w:rFonts w:ascii="宋体" w:hAnsi="宋体" w:eastAsia="宋体"/>
          <w:color w:val="auto"/>
          <w:sz w:val="24"/>
          <w:szCs w:val="24"/>
          <w:highlight w:val="none"/>
        </w:rPr>
        <w:t xml:space="preserve">否则，一经查实，将报请政府采购监管部门按照政府采购相关法规规定，依法进行处罚和失信记录。</w:t>
      </w:r>
      <w:bookmarkEnd w:id="26"/>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lang w:val="zh-CN"/>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.7</w:t>
      </w:r>
      <w:bookmarkStart w:id="27" w:name="_Hlk193378477"/>
      <w:r>
        <w:rPr>
          <w:rFonts w:hint="eastAsia" w:ascii="宋体" w:hAnsi="宋体" w:eastAsia="宋体"/>
          <w:color w:val="auto"/>
          <w:sz w:val="24"/>
          <w:szCs w:val="24"/>
          <w:highlight w:val="none"/>
          <w:lang w:val="zh-CN"/>
        </w:rPr>
        <w:t xml:space="preserve">质疑递交信息：详见第一章采购人及采购代理机构联系信息。</w:t>
      </w:r>
      <w:bookmarkEnd w:id="27"/>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33</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须按前附表的规定计算并支付代理服务费，该费用应在领取</w:t>
      </w:r>
      <w:r>
        <w:rPr>
          <w:rFonts w:hint="eastAsia" w:ascii="宋体" w:hAnsi="宋体" w:eastAsia="宋体"/>
          <w:color w:val="auto"/>
          <w:szCs w:val="24"/>
          <w:highlight w:val="none"/>
          <w:lang w:eastAsia="zh-CN"/>
        </w:rPr>
        <w:t xml:space="preserve">中标（成交）通知书</w:t>
      </w:r>
      <w:r>
        <w:rPr>
          <w:rFonts w:hint="eastAsia" w:ascii="宋体" w:hAnsi="宋体" w:eastAsia="宋体"/>
          <w:color w:val="auto"/>
          <w:szCs w:val="24"/>
          <w:highlight w:val="none"/>
        </w:rPr>
        <w:t xml:space="preserve">时付清。</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33</w:t>
      </w:r>
      <w:r>
        <w:rPr>
          <w:rFonts w:hint="eastAsia" w:ascii="宋体" w:hAnsi="宋体" w:eastAsia="宋体"/>
          <w:color w:val="auto"/>
          <w:szCs w:val="24"/>
          <w:highlight w:val="none"/>
        </w:rPr>
        <w:t xml:space="preserve">.2</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如果未按规定缴纳代理服务费，</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将保留诉讼的权利。</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34</w:t>
      </w:r>
      <w:r>
        <w:rPr>
          <w:rFonts w:hint="eastAsia" w:ascii="宋体" w:hAnsi="宋体" w:eastAsia="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未尽事宜应按《中华人民共和国</w:t>
      </w:r>
      <w:r>
        <w:rPr>
          <w:rFonts w:hint="eastAsia" w:ascii="宋体" w:hAnsi="宋体" w:eastAsia="宋体"/>
          <w:color w:val="auto"/>
          <w:sz w:val="24"/>
          <w:szCs w:val="24"/>
          <w:highlight w:val="none"/>
          <w:shd w:val="clear" w:color="auto" w:fill="ffffff"/>
        </w:rPr>
        <w:t xml:space="preserve">民</w:t>
      </w:r>
      <w:r>
        <w:rPr>
          <w:rFonts w:ascii="宋体" w:hAnsi="宋体" w:eastAsia="宋体"/>
          <w:color w:val="auto"/>
          <w:sz w:val="24"/>
          <w:szCs w:val="24"/>
          <w:highlight w:val="none"/>
          <w:shd w:val="clear" w:color="auto" w:fill="ffffff"/>
        </w:rPr>
        <w:t xml:space="preserve">法</w:t>
      </w:r>
      <w:r>
        <w:rPr>
          <w:rFonts w:hint="eastAsia" w:ascii="宋体" w:hAnsi="宋体" w:eastAsia="宋体"/>
          <w:color w:val="auto"/>
          <w:sz w:val="24"/>
          <w:szCs w:val="24"/>
          <w:highlight w:val="none"/>
          <w:shd w:val="clear" w:color="auto" w:fill="ffffff"/>
        </w:rPr>
        <w:t xml:space="preserve">典</w:t>
      </w:r>
      <w:r>
        <w:rPr>
          <w:rFonts w:ascii="宋体" w:hAnsi="宋体" w:eastAsia="宋体"/>
          <w:color w:val="auto"/>
          <w:sz w:val="24"/>
          <w:szCs w:val="24"/>
          <w:highlight w:val="none"/>
          <w:shd w:val="clear" w:color="auto" w:fill="ffffff"/>
        </w:rPr>
        <w:t xml:space="preserve">》、《中华人民共和国政府采购法》以及其</w:t>
      </w:r>
      <w:r>
        <w:rPr>
          <w:rFonts w:hint="eastAsia" w:ascii="宋体" w:hAnsi="宋体" w:eastAsia="宋体"/>
          <w:color w:val="auto"/>
          <w:sz w:val="24"/>
          <w:szCs w:val="24"/>
          <w:highlight w:val="none"/>
          <w:shd w:val="clear" w:color="auto" w:fill="ffffff"/>
        </w:rPr>
        <w:t xml:space="preserve">它</w:t>
      </w:r>
      <w:r>
        <w:rPr>
          <w:rFonts w:ascii="宋体" w:hAnsi="宋体" w:eastAsia="宋体"/>
          <w:color w:val="auto"/>
          <w:sz w:val="24"/>
          <w:szCs w:val="24"/>
          <w:highlight w:val="none"/>
          <w:shd w:val="clear" w:color="auto" w:fill="ffffff"/>
        </w:rPr>
        <w:t xml:space="preserve">相关法律、法规之规定解释</w:t>
      </w:r>
      <w:r>
        <w:rPr>
          <w:rFonts w:hint="eastAsia" w:ascii="宋体" w:hAnsi="宋体" w:eastAsia="宋体"/>
          <w:color w:val="auto"/>
          <w:sz w:val="24"/>
          <w:szCs w:val="24"/>
          <w:highlight w:val="none"/>
          <w:shd w:val="clear" w:color="auto" w:fill="ffffff"/>
        </w:rPr>
        <w:t xml:space="preserve">。</w:t>
      </w:r>
      <w:r/>
    </w:p>
    <w:p>
      <w:pPr>
        <w:pStyle w:val="953"/>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rPr>
      </w:r>
      <w:r/>
    </w:p>
    <w:p>
      <w:pPr>
        <w:keepLines w:val="0"/>
        <w:keepNext w:val="0"/>
        <w:pageBreakBefore w:val="0"/>
        <w:rPr>
          <w:color w:val="auto"/>
          <w:highlight w:val="none"/>
        </w:rPr>
        <w:outlineLvl w:val="9"/>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before="0" w:after="0" w:line="360" w:lineRule="auto"/>
        <w:widowControl w:val="off"/>
        <w:rPr>
          <w:rFonts w:hint="eastAsia" w:ascii="宋体" w:hAnsi="宋体" w:eastAsia="宋体"/>
          <w:b w:val="0"/>
          <w:color w:val="auto"/>
          <w:sz w:val="52"/>
          <w:highlight w:val="none"/>
        </w:rPr>
      </w:pPr>
      <w:r/>
      <w:bookmarkStart w:id="28" w:name="_Toc21063"/>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lang w:eastAsia="zh-CN"/>
        </w:rPr>
        <w:t xml:space="preserve">投标（响应）文件</w:t>
      </w:r>
      <w:r>
        <w:rPr>
          <w:rFonts w:hint="eastAsia" w:ascii="宋体" w:hAnsi="宋体" w:eastAsia="宋体"/>
          <w:color w:val="auto"/>
          <w:sz w:val="52"/>
          <w:highlight w:val="none"/>
        </w:rPr>
        <w:t xml:space="preserve">格式</w:t>
      </w:r>
      <w:bookmarkEnd w:id="28"/>
      <w:r/>
      <w:r/>
    </w:p>
    <w:p>
      <w:pPr>
        <w:pStyle w:val="970"/>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970"/>
        <w:ind w:firstLine="482"/>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对本章所有的格式，</w:t>
      </w:r>
      <w:r>
        <w:rPr>
          <w:rFonts w:hint="eastAsia" w:ascii="宋体" w:hAnsi="宋体" w:eastAsia="宋体"/>
          <w:b/>
          <w:color w:val="auto"/>
          <w:szCs w:val="24"/>
          <w:highlight w:val="none"/>
          <w:lang w:eastAsia="zh-CN"/>
        </w:rPr>
        <w:t xml:space="preserve">供应商</w:t>
      </w:r>
      <w:r>
        <w:rPr>
          <w:rFonts w:hint="eastAsia" w:ascii="宋体" w:hAnsi="宋体" w:eastAsia="宋体"/>
          <w:b/>
          <w:color w:val="auto"/>
          <w:szCs w:val="24"/>
          <w:highlight w:val="none"/>
        </w:rPr>
        <w:t xml:space="preserve">可根据自身情况进行补充和修改，但补充和修改不得造成与本格式内容有实质性的违背。</w:t>
      </w:r>
      <w:r/>
    </w:p>
    <w:p>
      <w:pPr>
        <w:pStyle w:val="970"/>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 w:val="21"/>
          <w:szCs w:val="21"/>
          <w:highlight w:val="none"/>
        </w:rPr>
        <w:br w:type="page" w:clear="all"/>
      </w:r>
      <w:r>
        <w:rPr>
          <w:rFonts w:ascii="宋体" w:hAnsi="宋体" w:eastAsia="宋体"/>
          <w:b/>
          <w:color w:val="auto"/>
          <w:szCs w:val="24"/>
          <w:highlight w:val="none"/>
        </w:rPr>
        <w:t xml:space="preserve">1</w:t>
      </w:r>
      <w:r>
        <w:rPr>
          <w:rFonts w:hint="eastAsia" w:ascii="宋体" w:hAnsi="宋体" w:eastAsia="宋体"/>
          <w:b/>
          <w:color w:val="auto"/>
          <w:szCs w:val="24"/>
          <w:highlight w:val="none"/>
        </w:rPr>
        <w:t xml:space="preserve">、（供应商）法定代表人授权委托书</w:t>
      </w:r>
      <w:r/>
    </w:p>
    <w:p>
      <w:pPr>
        <w:pStyle w:val="970"/>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0"/>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授权委托书</w:t>
      </w:r>
      <w:r/>
    </w:p>
    <w:p>
      <w:pPr>
        <w:pStyle w:val="970"/>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2"/>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（投标人名称）的法定代表人，现授权委托</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（姓名+手机号码）为我公司代理人，以本公司的名义参加</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（采购人名称）组织实施的编号为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2"/>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2"/>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2、投标（响应）函</w:t>
      </w:r>
      <w:r/>
    </w:p>
    <w:p>
      <w:pPr>
        <w:pStyle w:val="975"/>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投标（响应）函</w:t>
      </w:r>
      <w:r/>
    </w:p>
    <w:p>
      <w:pPr>
        <w:pStyle w:val="976"/>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苏州诚和招投标咨询有限公司</w:t>
      </w:r>
      <w:r>
        <w:rPr>
          <w:rFonts w:hint="eastAsia" w:hAnsi="宋体" w:eastAsia="宋体"/>
          <w:color w:val="auto"/>
          <w:sz w:val="24"/>
          <w:szCs w:val="24"/>
          <w:highlight w:val="none"/>
        </w:rPr>
        <w:t xml:space="preserve">：</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号采购文件，经仔细阅读和研究，我们决定参加磋商活动。</w:t>
      </w:r>
      <w:r/>
    </w:p>
    <w:p>
      <w:pPr>
        <w:numPr>
          <w:ilvl w:val="0"/>
          <w:numId w:val="1"/>
        </w:num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我们愿意按照采购文件的一切要求，提供完成该项目的全部内容，我们的报价</w:t>
      </w:r>
      <w:r>
        <w:rPr>
          <w:rFonts w:hint="eastAsia" w:ascii="宋体" w:hAnsi="宋体" w:eastAsia="宋体"/>
          <w:color w:val="auto"/>
          <w:sz w:val="24"/>
          <w:szCs w:val="24"/>
          <w:highlight w:val="none"/>
          <w:lang w:eastAsia="zh-CN"/>
        </w:rPr>
        <w:t xml:space="preserve">包括完成本次服务项目所需的人员（包括工资和补贴）、报告编制、劳保、管理、保险、各种税费、利润、税金、政策性文件规定及合同包含的所有风险、责任等各项应有费用。磋商供应商应对所投项目的全部内容进行报价，只投其中部分内容者，其响应文件将被拒绝。供应商对服务缺陷不予更正，采购单位有权另请其他单位更正，所发生的费用由供应商承担</w:t>
      </w:r>
      <w:r>
        <w:rPr>
          <w:rFonts w:hint="eastAsia" w:ascii="宋体" w:hAnsi="宋体" w:eastAsia="宋体"/>
          <w:color w:val="auto"/>
          <w:sz w:val="24"/>
          <w:szCs w:val="24"/>
          <w:highlight w:val="none"/>
        </w:rPr>
        <w:t xml:space="preserve">。</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2、如果我们的</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被接受，我们将严格履行采购文件中规定的每一项要求，按期、按质、按量履行合同的义务。</w:t>
      </w:r>
      <w:r/>
    </w:p>
    <w:p>
      <w:pPr>
        <w:pStyle w:val="975"/>
        <w:ind w:firstLine="480"/>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w:t>
      </w:r>
      <w:r>
        <w:rPr>
          <w:rFonts w:hint="eastAsia" w:hAnsi="宋体" w:eastAsia="宋体"/>
          <w:color w:val="auto"/>
          <w:sz w:val="24"/>
          <w:szCs w:val="24"/>
          <w:highlight w:val="none"/>
        </w:rPr>
        <w:t xml:space="preserve">采购</w:t>
      </w:r>
      <w:r>
        <w:rPr>
          <w:rFonts w:hAnsi="宋体" w:eastAsia="宋体"/>
          <w:color w:val="auto"/>
          <w:sz w:val="24"/>
          <w:szCs w:val="24"/>
          <w:highlight w:val="none"/>
        </w:rPr>
        <w:t xml:space="preserve">文件，包括</w:t>
      </w:r>
      <w:r>
        <w:rPr>
          <w:rFonts w:hint="eastAsia" w:hAnsi="宋体" w:eastAsia="宋体"/>
          <w:color w:val="auto"/>
          <w:sz w:val="24"/>
          <w:szCs w:val="24"/>
          <w:highlight w:val="none"/>
        </w:rPr>
        <w:t xml:space="preserve">更正公告（</w:t>
      </w:r>
      <w:r>
        <w:rPr>
          <w:rFonts w:hAnsi="宋体" w:eastAsia="宋体"/>
          <w:color w:val="auto"/>
          <w:sz w:val="24"/>
          <w:szCs w:val="24"/>
          <w:highlight w:val="none"/>
        </w:rPr>
        <w:t xml:space="preserve">如</w:t>
      </w:r>
      <w:r>
        <w:rPr>
          <w:rFonts w:hint="eastAsia" w:hAnsi="宋体" w:eastAsia="宋体"/>
          <w:color w:val="auto"/>
          <w:sz w:val="24"/>
          <w:szCs w:val="24"/>
          <w:highlight w:val="none"/>
        </w:rPr>
        <w:t xml:space="preserve">有）</w:t>
      </w:r>
      <w:r>
        <w:rPr>
          <w:rFonts w:hAnsi="宋体" w:eastAsia="宋体"/>
          <w:color w:val="auto"/>
          <w:sz w:val="24"/>
          <w:szCs w:val="24"/>
          <w:highlight w:val="none"/>
        </w:rPr>
        <w:t xml:space="preserve">。我们完全理解并同意放弃对这方面有不明及误解的权力。</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4、我们同意按采购文件中的规定，本</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的有效期限为</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提交截止之日起九十天。</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5、我们愿意提供</w:t>
      </w:r>
      <w:r>
        <w:rPr>
          <w:rFonts w:hint="eastAsia" w:hAnsi="宋体" w:eastAsia="宋体"/>
          <w:color w:val="auto"/>
          <w:sz w:val="24"/>
          <w:szCs w:val="24"/>
          <w:highlight w:val="none"/>
          <w:lang w:eastAsia="zh-CN"/>
        </w:rPr>
        <w:t xml:space="preserve">采购单位</w:t>
      </w:r>
      <w:r>
        <w:rPr>
          <w:rFonts w:hint="eastAsia" w:hAnsi="宋体" w:eastAsia="宋体"/>
          <w:color w:val="auto"/>
          <w:sz w:val="24"/>
          <w:szCs w:val="24"/>
          <w:highlight w:val="none"/>
        </w:rPr>
        <w:t xml:space="preserve">在采购文件中要求的所有资料。</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6、我们愿意遵守采购文件中所列的收费标准。</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7、我们承诺该</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在磋商开始后的全过程中保持有效，不做任何更改和变动。</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8、我们承诺我公司符合采购文件中申请人的资格要求，若与真实情况不符，本公司愿意承担由此而产生的一切后果。</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9、我们声明：我们在参加本次政府采购活动前3年内在经营活动中没有重大违法记录。</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10、如果我们</w:t>
      </w:r>
      <w:r>
        <w:rPr>
          <w:rFonts w:hint="eastAsia" w:hAnsi="宋体" w:eastAsia="宋体"/>
          <w:color w:val="auto"/>
          <w:sz w:val="24"/>
          <w:szCs w:val="24"/>
          <w:highlight w:val="none"/>
          <w:lang w:val="en-US" w:eastAsia="zh-CN"/>
        </w:rPr>
        <w:t xml:space="preserve">中标（</w:t>
      </w:r>
      <w:r>
        <w:rPr>
          <w:rFonts w:hint="eastAsia" w:hAnsi="宋体" w:eastAsia="宋体"/>
          <w:color w:val="auto"/>
          <w:sz w:val="24"/>
          <w:szCs w:val="24"/>
          <w:highlight w:val="none"/>
        </w:rPr>
        <w:t xml:space="preserve">成交</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，我们愿意按采购文件的规定支付代理服务费和履约保证金。</w:t>
      </w:r>
      <w:r/>
    </w:p>
    <w:p>
      <w:pPr>
        <w:pStyle w:val="975"/>
        <w:ind w:firstLine="480"/>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1、综合说明：</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）对采购文件有不同意见的偏离说明；（</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）其它说明。</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的函电，请按下列地址联系：</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地址：                             邮政编码：</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联系电话：                         电子邮箱：</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银行账号：</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银行开户行：</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数字人民币开户行（如有）：</w:t>
      </w:r>
      <w:r/>
    </w:p>
    <w:p>
      <w:pPr>
        <w:pStyle w:val="975"/>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数字人民币账户（数币钱包ID）：</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color w:val="auto"/>
          <w:szCs w:val="24"/>
          <w:highlight w:val="none"/>
        </w:rPr>
        <w:t xml:space="preserve">3</w:t>
      </w:r>
      <w:r>
        <w:rPr>
          <w:rFonts w:hint="eastAsia" w:ascii="宋体" w:hAnsi="宋体" w:eastAsia="宋体"/>
          <w:b/>
          <w:color w:val="auto"/>
          <w:szCs w:val="24"/>
          <w:highlight w:val="none"/>
        </w:rPr>
        <w:t xml:space="preserve">、</w:t>
      </w:r>
      <w:r>
        <w:rPr>
          <w:rFonts w:hint="eastAsia" w:ascii="宋体" w:hAnsi="宋体" w:eastAsia="宋体" w:cs="宋体"/>
          <w:b/>
          <w:color w:val="auto"/>
          <w:sz w:val="24"/>
          <w:highlight w:val="none"/>
        </w:rPr>
        <w:t xml:space="preserve">开标一览表</w:t>
      </w:r>
      <w:r/>
    </w:p>
    <w:p>
      <w:pPr>
        <w:jc w:val="center"/>
        <w:spacing w:line="360" w:lineRule="auto"/>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开标一览表（总报价）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投标人全称（加盖公章）：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分包号：采购包1</w:t>
      </w:r>
      <w:r/>
    </w:p>
    <w:tbl>
      <w:tblPr>
        <w:tblStyle w:val="950"/>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center"/>
        <w:spacing w:line="360" w:lineRule="auto"/>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0"/>
        <w:jc w:val="righ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964"/>
        <w:ind w:left="0" w:firstLine="0"/>
        <w:spacing w:after="0" w:line="360" w:lineRule="auto"/>
        <w:rPr>
          <w:color w:val="auto"/>
          <w:sz w:val="24"/>
          <w:szCs w:val="24"/>
          <w:highlight w:val="none"/>
          <w:lang w:val="zh-CN"/>
        </w:rPr>
      </w:pPr>
      <w:r>
        <w:rPr>
          <w:rFonts w:hint="eastAsia"/>
          <w:color w:val="auto"/>
          <w:sz w:val="24"/>
          <w:szCs w:val="24"/>
          <w:highlight w:val="none"/>
          <w:lang w:val="zh-CN"/>
        </w:rPr>
        <w:t xml:space="preserve">填写说明:</w:t>
      </w:r>
      <w:r/>
    </w:p>
    <w:p>
      <w:pPr>
        <w:pStyle w:val="964"/>
        <w:ind w:left="0" w:firstLine="0"/>
        <w:spacing w:after="0" w:line="360" w:lineRule="auto"/>
        <w:rPr>
          <w:color w:val="auto"/>
          <w:sz w:val="24"/>
          <w:szCs w:val="24"/>
          <w:highlight w:val="none"/>
          <w:u w:val="single"/>
        </w:rPr>
      </w:pPr>
      <w:r>
        <w:rPr>
          <w:rFonts w:hint="eastAsia"/>
          <w:color w:val="auto"/>
          <w:sz w:val="24"/>
          <w:szCs w:val="24"/>
          <w:highlight w:val="none"/>
          <w:u w:val="single"/>
          <w:lang w:val="zh-CN"/>
        </w:rPr>
        <w:t xml:space="preserve">1、开标一览表必须加盖投标</w:t>
      </w:r>
      <w:r>
        <w:rPr>
          <w:rFonts w:hint="eastAsia"/>
          <w:color w:val="auto"/>
          <w:sz w:val="24"/>
          <w:szCs w:val="24"/>
          <w:highlight w:val="none"/>
          <w:u w:val="single"/>
        </w:rPr>
        <w:t xml:space="preserve">人公章（复印件无效）。</w:t>
      </w:r>
      <w:r/>
    </w:p>
    <w:p>
      <w:pPr>
        <w:pStyle w:val="964"/>
        <w:ind w:left="0" w:firstLine="0"/>
        <w:keepLines w:val="0"/>
        <w:keepNext w:val="0"/>
        <w:pageBreakBefore w:val="0"/>
        <w:spacing w:after="0" w:line="360" w:lineRule="auto"/>
        <w:widowControl w:val="off"/>
        <w:rPr>
          <w:rFonts w:hint="eastAsia"/>
          <w:color w:val="auto"/>
          <w:sz w:val="24"/>
          <w:szCs w:val="24"/>
          <w:highlight w:val="none"/>
          <w:u w:val="single"/>
          <w:lang w:val="zh-CN"/>
        </w:rPr>
        <w:outlineLvl w:val="9"/>
      </w:pPr>
      <w:r>
        <w:rPr>
          <w:rFonts w:hint="eastAsia"/>
          <w:color w:val="auto"/>
          <w:sz w:val="24"/>
          <w:szCs w:val="24"/>
          <w:highlight w:val="none"/>
          <w:u w:val="single"/>
          <w:lang w:val="zh-CN"/>
        </w:rPr>
        <w:t xml:space="preserve">2、如有分包，投标人投任何</w:t>
      </w:r>
      <w:r>
        <w:rPr>
          <w:rFonts w:hint="eastAsia"/>
          <w:color w:val="auto"/>
          <w:sz w:val="24"/>
          <w:szCs w:val="24"/>
          <w:highlight w:val="none"/>
          <w:u w:val="single"/>
        </w:rPr>
        <w:t xml:space="preserve">一个</w:t>
      </w:r>
      <w:r>
        <w:rPr>
          <w:rFonts w:hint="eastAsia"/>
          <w:color w:val="auto"/>
          <w:sz w:val="24"/>
          <w:szCs w:val="24"/>
          <w:highlight w:val="none"/>
          <w:u w:val="single"/>
          <w:lang w:val="zh-CN"/>
        </w:rPr>
        <w:t xml:space="preserve">包的标的，</w:t>
      </w:r>
      <w:r>
        <w:rPr>
          <w:rFonts w:hint="eastAsia"/>
          <w:color w:val="auto"/>
          <w:sz w:val="24"/>
          <w:szCs w:val="24"/>
          <w:highlight w:val="none"/>
          <w:u w:val="single"/>
        </w:rPr>
        <w:t xml:space="preserve">都需单</w:t>
      </w:r>
      <w:r>
        <w:rPr>
          <w:rFonts w:hint="eastAsia"/>
          <w:color w:val="auto"/>
          <w:sz w:val="24"/>
          <w:szCs w:val="24"/>
          <w:highlight w:val="none"/>
          <w:u w:val="single"/>
          <w:lang w:val="zh-CN"/>
        </w:rPr>
        <w:t xml:space="preserve">独填写开标一览表。</w:t>
      </w:r>
      <w:r/>
    </w:p>
    <w:p>
      <w:pPr>
        <w:pStyle w:val="964"/>
        <w:ind w:left="0" w:firstLine="0"/>
        <w:keepLines w:val="0"/>
        <w:keepNext w:val="0"/>
        <w:pageBreakBefore w:val="0"/>
        <w:spacing w:after="0" w:line="360" w:lineRule="auto"/>
        <w:widowControl w:val="off"/>
        <w:rPr>
          <w:rFonts w:hint="eastAsia" w:ascii="宋体" w:hAnsi="宋体"/>
          <w:b/>
          <w:color w:val="auto"/>
          <w:sz w:val="24"/>
          <w:szCs w:val="24"/>
          <w:highlight w:val="none"/>
        </w:rPr>
        <w:outlineLvl w:val="1"/>
      </w:pPr>
      <w:r>
        <w:rPr>
          <w:rFonts w:ascii="宋体" w:hAnsi="宋体"/>
          <w:color w:val="auto"/>
          <w:sz w:val="24"/>
          <w:szCs w:val="24"/>
          <w:highlight w:val="none"/>
        </w:rPr>
        <w:br w:type="page" w:clear="all"/>
      </w:r>
      <w:r>
        <w:rPr>
          <w:rFonts w:hint="eastAsia" w:ascii="宋体" w:hAnsi="宋体"/>
          <w:b/>
          <w:color w:val="auto"/>
          <w:sz w:val="24"/>
          <w:szCs w:val="24"/>
          <w:highlight w:val="none"/>
        </w:rPr>
        <w:t xml:space="preserve">4、报价明细表</w:t>
      </w:r>
      <w:r/>
    </w:p>
    <w:p>
      <w:pPr>
        <w:pStyle w:val="975"/>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报价明细表</w:t>
      </w:r>
      <w:r/>
    </w:p>
    <w:tbl>
      <w:tblPr>
        <w:tblStyle w:val="95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26"/>
        <w:gridCol w:w="924"/>
        <w:gridCol w:w="1864"/>
        <w:gridCol w:w="426"/>
        <w:gridCol w:w="426"/>
        <w:gridCol w:w="846"/>
        <w:gridCol w:w="1266"/>
        <w:gridCol w:w="904"/>
        <w:gridCol w:w="1266"/>
        <w:gridCol w:w="618"/>
      </w:tblGrid>
      <w:tr>
        <w:trPr>
          <w:cantSplit/>
          <w:jc w:val="center"/>
          <w:trHeight w:val="567"/>
        </w:trPr>
        <w:tc>
          <w:tcPr>
            <w:tcW w:w="28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right w:val="single" w:color="auto" w:sz="4" w:space="0"/>
            </w:tcBorders>
            <w:tcW w:w="57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Borders>
              <w:left w:val="single" w:color="auto" w:sz="4" w:space="0"/>
              <w:right w:val="single" w:color="auto" w:sz="4" w:space="0"/>
            </w:tcBorders>
            <w:tcW w:w="1092"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Borders>
              <w:left w:val="single" w:color="auto" w:sz="4" w:space="0"/>
            </w:tcBorders>
            <w:tcW w:w="281"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w:t>
            </w:r>
            <w:r/>
          </w:p>
        </w:tc>
        <w:tc>
          <w:tcPr>
            <w:tcBorders>
              <w:left w:val="single" w:color="auto" w:sz="4" w:space="0"/>
            </w:tcBorders>
            <w:tcW w:w="267"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auto" w:sz="4" w:space="0"/>
              <w:right w:val="single" w:color="auto" w:sz="4" w:space="0"/>
            </w:tcBorders>
            <w:tcW w:w="518"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Borders>
              <w:left w:val="single" w:color="auto" w:sz="4" w:space="0"/>
              <w:bottom w:val="single" w:color="auto" w:sz="4" w:space="0"/>
            </w:tcBorders>
            <w:tcW w:w="595" w:type="pct"/>
            <w:vAlign w:val="center"/>
            <w:textDirection w:val="lrTb"/>
            <w:noWrap w:val="false"/>
          </w:tcPr>
          <w:p>
            <w:pPr>
              <w:pStyle w:val="987"/>
              <w:jc w:val="center"/>
              <w:rPr>
                <w:rFonts w:hint="default"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单价最高限价（元）</w:t>
            </w:r>
            <w:r/>
          </w:p>
        </w:tc>
        <w:tc>
          <w:tcPr>
            <w:tcBorders>
              <w:left w:val="single" w:color="auto" w:sz="4" w:space="0"/>
              <w:bottom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Borders>
              <w:right w:val="single" w:color="auto" w:sz="4" w:space="0"/>
            </w:tcBorders>
            <w:tcW w:w="396"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rPr>
                <w:rFonts w:hint="eastAsia" w:hAnsi="宋体" w:eastAsia="宋体" w:cs="宋体"/>
                <w:color w:val="auto"/>
                <w:sz w:val="21"/>
                <w:szCs w:val="21"/>
                <w:highlight w:val="none"/>
                <w:lang w:val="en-US" w:eastAsia="zh-CN"/>
              </w:rPr>
              <w:t xml:space="preserve">最高限价（元）</w:t>
            </w:r>
            <w:r/>
          </w:p>
        </w:tc>
        <w:tc>
          <w:tcPr>
            <w:tcBorders>
              <w:right w:val="single" w:color="auto" w:sz="4" w:space="0"/>
            </w:tcBorders>
            <w:tcW w:w="396"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567"/>
        </w:trPr>
        <w:tc>
          <w:tcPr>
            <w:tcW w:w="28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w:t>
            </w:r>
            <w:r/>
          </w:p>
        </w:tc>
        <w:tc>
          <w:tcPr>
            <w:tcBorders>
              <w:right w:val="single" w:color="auto" w:sz="4" w:space="0"/>
            </w:tcBorders>
            <w:tcW w:w="574"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水站运维</w:t>
            </w:r>
            <w:r/>
          </w:p>
        </w:tc>
        <w:tc>
          <w:tcPr>
            <w:tcBorders>
              <w:left w:val="single" w:color="auto" w:sz="4" w:space="0"/>
              <w:right w:val="single" w:color="auto" w:sz="4" w:space="0"/>
            </w:tcBorders>
            <w:tcW w:w="1092"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金墅港、渔洋山2个饮用水源地水站，</w:t>
            </w:r>
            <w:r>
              <w:rPr>
                <w:rFonts w:hint="eastAsia" w:ascii="宋体" w:hAnsi="宋体" w:eastAsia="宋体" w:cs="宋体"/>
                <w:b w:val="0"/>
                <w:bCs w:val="0"/>
                <w:color w:val="auto"/>
                <w:sz w:val="21"/>
                <w:szCs w:val="21"/>
                <w:highlight w:val="none"/>
                <w:lang w:val="en-US" w:eastAsia="zh-CN"/>
              </w:rPr>
              <w:t xml:space="preserve">頔塘河</w:t>
            </w:r>
            <w:r>
              <w:rPr>
                <w:rFonts w:hint="eastAsia" w:ascii="宋体" w:hAnsi="宋体" w:eastAsia="宋体" w:cs="宋体"/>
                <w:b w:val="0"/>
                <w:bCs w:val="0"/>
                <w:color w:val="auto"/>
                <w:sz w:val="21"/>
                <w:szCs w:val="21"/>
                <w:highlight w:val="none"/>
              </w:rPr>
              <w:t xml:space="preserve">1个太阳能水站</w:t>
            </w:r>
            <w:r>
              <w:rPr>
                <w:rFonts w:hint="eastAsia" w:hAnsi="宋体" w:eastAsia="宋体" w:cs="宋体"/>
                <w:b w:val="0"/>
                <w:bCs w:val="0"/>
                <w:color w:val="auto"/>
                <w:sz w:val="21"/>
                <w:szCs w:val="21"/>
                <w:highlight w:val="none"/>
                <w:lang w:val="en-US" w:eastAsia="zh-CN"/>
              </w:rPr>
              <w:t xml:space="preserve">运维</w:t>
            </w:r>
            <w:r/>
          </w:p>
        </w:tc>
        <w:tc>
          <w:tcPr>
            <w:tcBorders>
              <w:left w:val="single" w:color="auto" w:sz="4" w:space="0"/>
            </w:tcBorders>
            <w:tcW w:w="281"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年</w:t>
            </w:r>
            <w:r/>
          </w:p>
        </w:tc>
        <w:tc>
          <w:tcPr>
            <w:tcBorders>
              <w:left w:val="single" w:color="auto" w:sz="4" w:space="0"/>
            </w:tcBorders>
            <w:tcW w:w="267"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p>
        </w:tc>
        <w:tc>
          <w:tcPr>
            <w:tcBorders>
              <w:top w:val="single" w:color="auto" w:sz="4" w:space="0"/>
              <w:right w:val="single" w:color="auto" w:sz="4" w:space="0"/>
            </w:tcBorders>
            <w:tcW w:w="518"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520,000.00</w:t>
            </w:r>
            <w:r/>
          </w:p>
        </w:tc>
        <w:tc>
          <w:tcPr>
            <w:tcBorders>
              <w:top w:val="single" w:color="auto" w:sz="4" w:space="0"/>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846" w:type="dxa"/>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520,000.00</w:t>
            </w:r>
            <w:r/>
          </w:p>
        </w:tc>
        <w:tc>
          <w:tcPr>
            <w:tcBorders>
              <w:right w:val="single" w:color="auto" w:sz="4" w:space="0"/>
            </w:tcBorders>
            <w:tcW w:w="396"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8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p>
        </w:tc>
        <w:tc>
          <w:tcPr>
            <w:tcBorders>
              <w:right w:val="single" w:color="auto" w:sz="4" w:space="0"/>
            </w:tcBorders>
            <w:tcW w:w="57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水站</w:t>
            </w:r>
            <w:r>
              <w:rPr>
                <w:rFonts w:hint="eastAsia" w:ascii="宋体" w:hAnsi="宋体" w:eastAsia="宋体" w:cs="宋体"/>
                <w:b w:val="0"/>
                <w:bCs w:val="0"/>
                <w:color w:val="auto"/>
                <w:sz w:val="21"/>
                <w:szCs w:val="21"/>
                <w:highlight w:val="none"/>
                <w:lang w:val="en-US" w:eastAsia="zh-CN"/>
              </w:rPr>
              <w:t xml:space="preserve">智能化升级改造</w:t>
            </w:r>
            <w:r/>
          </w:p>
        </w:tc>
        <w:tc>
          <w:tcPr>
            <w:tcBorders>
              <w:left w:val="single" w:color="auto" w:sz="4" w:space="0"/>
              <w:right w:val="single" w:color="auto" w:sz="4" w:space="0"/>
            </w:tcBorders>
            <w:tcW w:w="1092"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b w:val="0"/>
                <w:bCs w:val="0"/>
                <w:color w:val="auto"/>
                <w:sz w:val="21"/>
                <w:szCs w:val="21"/>
                <w:highlight w:val="none"/>
                <w:lang w:val="en-US" w:eastAsia="zh-CN"/>
              </w:rPr>
              <w:t xml:space="preserve">从</w:t>
            </w:r>
            <w:r>
              <w:rPr>
                <w:rFonts w:hint="eastAsia" w:ascii="宋体" w:hAnsi="宋体" w:eastAsia="宋体" w:cs="宋体"/>
                <w:b w:val="0"/>
                <w:bCs w:val="0"/>
                <w:color w:val="auto"/>
                <w:sz w:val="21"/>
                <w:szCs w:val="21"/>
                <w:highlight w:val="none"/>
              </w:rPr>
              <w:t xml:space="preserve">金墅港、渔洋山</w:t>
            </w:r>
            <w:r>
              <w:rPr>
                <w:rFonts w:hint="eastAsia" w:hAnsi="宋体" w:eastAsia="宋体" w:cs="宋体"/>
                <w:b w:val="0"/>
                <w:bCs w:val="0"/>
                <w:color w:val="auto"/>
                <w:sz w:val="21"/>
                <w:szCs w:val="21"/>
                <w:highlight w:val="none"/>
                <w:lang w:val="en-US" w:eastAsia="zh-CN"/>
              </w:rPr>
              <w:t xml:space="preserve">中</w:t>
            </w:r>
            <w:r>
              <w:rPr>
                <w:rFonts w:hint="eastAsia" w:ascii="宋体" w:hAnsi="宋体" w:eastAsia="宋体" w:cs="宋体"/>
                <w:b w:val="0"/>
                <w:bCs w:val="0"/>
                <w:color w:val="auto"/>
                <w:sz w:val="21"/>
                <w:szCs w:val="21"/>
                <w:highlight w:val="none"/>
                <w:lang w:val="en-US" w:eastAsia="zh-CN"/>
              </w:rPr>
              <w:t xml:space="preserve">任选一个</w:t>
            </w:r>
            <w:r>
              <w:rPr>
                <w:rFonts w:hint="eastAsia" w:ascii="宋体" w:hAnsi="宋体" w:eastAsia="宋体" w:cs="宋体"/>
                <w:b w:val="0"/>
                <w:bCs w:val="0"/>
                <w:color w:val="auto"/>
                <w:sz w:val="21"/>
                <w:szCs w:val="21"/>
                <w:highlight w:val="none"/>
              </w:rPr>
              <w:t xml:space="preserve">水源地水站</w:t>
            </w:r>
            <w:r>
              <w:rPr>
                <w:rFonts w:hint="eastAsia" w:ascii="宋体" w:hAnsi="宋体" w:eastAsia="宋体" w:cs="宋体"/>
                <w:b w:val="0"/>
                <w:bCs w:val="0"/>
                <w:color w:val="auto"/>
                <w:sz w:val="21"/>
                <w:szCs w:val="21"/>
                <w:highlight w:val="none"/>
                <w:lang w:val="en-US" w:eastAsia="zh-CN"/>
              </w:rPr>
              <w:t xml:space="preserve">进行智能化升级改造服务</w:t>
            </w:r>
            <w:r/>
          </w:p>
        </w:tc>
        <w:tc>
          <w:tcPr>
            <w:tcBorders>
              <w:left w:val="single" w:color="auto" w:sz="4" w:space="0"/>
            </w:tcBorders>
            <w:tcW w:w="281"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个</w:t>
            </w:r>
            <w:r/>
          </w:p>
        </w:tc>
        <w:tc>
          <w:tcPr>
            <w:tcBorders>
              <w:left w:val="single" w:color="auto" w:sz="4" w:space="0"/>
            </w:tcBorders>
            <w:tcW w:w="267"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p>
        </w:tc>
        <w:tc>
          <w:tcPr>
            <w:tcBorders>
              <w:right w:val="single" w:color="auto" w:sz="4" w:space="0"/>
            </w:tcBorders>
            <w:tcW w:w="518"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150,000.00</w:t>
            </w:r>
            <w:r/>
          </w:p>
        </w:tc>
        <w:tc>
          <w:tcPr>
            <w:tcBorders>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846" w:type="dxa"/>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150,000.00</w:t>
            </w:r>
            <w:r/>
          </w:p>
        </w:tc>
        <w:tc>
          <w:tcPr>
            <w:tcBorders>
              <w:right w:val="single" w:color="auto" w:sz="4" w:space="0"/>
            </w:tcBorders>
            <w:tcW w:w="396"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8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p>
        </w:tc>
        <w:tc>
          <w:tcPr>
            <w:tcBorders>
              <w:right w:val="single" w:color="auto" w:sz="4" w:space="0"/>
            </w:tcBorders>
            <w:tcW w:w="57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污染</w:t>
            </w:r>
            <w:r>
              <w:rPr>
                <w:rFonts w:hint="eastAsia" w:ascii="宋体" w:hAnsi="宋体" w:eastAsia="宋体" w:cs="宋体"/>
                <w:color w:val="auto"/>
                <w:sz w:val="21"/>
                <w:szCs w:val="21"/>
                <w:highlight w:val="none"/>
              </w:rPr>
              <w:t xml:space="preserve">溯源</w:t>
            </w:r>
            <w:r/>
          </w:p>
        </w:tc>
        <w:tc>
          <w:tcPr>
            <w:tcBorders>
              <w:left w:val="single" w:color="auto" w:sz="4" w:space="0"/>
              <w:right w:val="single" w:color="auto" w:sz="4" w:space="0"/>
            </w:tcBorders>
            <w:tcW w:w="1092"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根据甲方要求，</w:t>
            </w:r>
            <w:r>
              <w:rPr>
                <w:rFonts w:hint="eastAsia" w:ascii="宋体" w:hAnsi="宋体" w:eastAsia="宋体" w:cs="宋体"/>
                <w:color w:val="auto"/>
                <w:sz w:val="21"/>
                <w:szCs w:val="21"/>
                <w:highlight w:val="none"/>
              </w:rPr>
              <w:t xml:space="preserve">对水源地、国、省考断面溯源及报告编制提供技术支撑</w:t>
            </w:r>
            <w:r/>
          </w:p>
        </w:tc>
        <w:tc>
          <w:tcPr>
            <w:tcBorders>
              <w:left w:val="single" w:color="auto" w:sz="4" w:space="0"/>
            </w:tcBorders>
            <w:tcW w:w="281"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年</w:t>
            </w:r>
            <w:r/>
          </w:p>
        </w:tc>
        <w:tc>
          <w:tcPr>
            <w:tcBorders>
              <w:left w:val="single" w:color="auto" w:sz="4" w:space="0"/>
            </w:tcBorders>
            <w:tcW w:w="267"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p>
        </w:tc>
        <w:tc>
          <w:tcPr>
            <w:tcBorders>
              <w:right w:val="single" w:color="auto" w:sz="4" w:space="0"/>
            </w:tcBorders>
            <w:tcW w:w="518"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50,000.00</w:t>
            </w:r>
            <w:r/>
          </w:p>
        </w:tc>
        <w:tc>
          <w:tcPr>
            <w:tcBorders>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846" w:type="dxa"/>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50,000.00</w:t>
            </w:r>
            <w:r/>
          </w:p>
        </w:tc>
        <w:tc>
          <w:tcPr>
            <w:tcBorders>
              <w:right w:val="single" w:color="auto" w:sz="4" w:space="0"/>
            </w:tcBorders>
            <w:tcW w:w="396"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84"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4</w:t>
            </w:r>
            <w:r/>
          </w:p>
        </w:tc>
        <w:tc>
          <w:tcPr>
            <w:tcBorders>
              <w:right w:val="single" w:color="auto" w:sz="4" w:space="0"/>
            </w:tcBorders>
            <w:tcW w:w="574" w:type="pct"/>
            <w:vAlign w:val="center"/>
            <w:textDirection w:val="lrTb"/>
            <w:noWrap w:val="false"/>
          </w:tcPr>
          <w:p>
            <w:pPr>
              <w:pStyle w:val="987"/>
              <w:jc w:val="center"/>
              <w:rPr>
                <w:rFonts w:hint="default"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水质异常预警</w:t>
            </w:r>
            <w:r/>
          </w:p>
        </w:tc>
        <w:tc>
          <w:tcPr>
            <w:tcBorders>
              <w:left w:val="single" w:color="auto" w:sz="4" w:space="0"/>
              <w:right w:val="single" w:color="auto" w:sz="4" w:space="0"/>
            </w:tcBorders>
            <w:tcW w:w="1092"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每日对水源地、国、省考断面异常数据进行预警提醒</w:t>
            </w:r>
            <w:r/>
          </w:p>
        </w:tc>
        <w:tc>
          <w:tcPr>
            <w:tcBorders>
              <w:left w:val="single" w:color="auto" w:sz="4" w:space="0"/>
            </w:tcBorders>
            <w:tcW w:w="281"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年</w:t>
            </w:r>
            <w:r/>
          </w:p>
        </w:tc>
        <w:tc>
          <w:tcPr>
            <w:tcBorders>
              <w:left w:val="single" w:color="auto" w:sz="4" w:space="0"/>
            </w:tcBorders>
            <w:tcW w:w="267"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p>
        </w:tc>
        <w:tc>
          <w:tcPr>
            <w:tcBorders>
              <w:right w:val="single" w:color="auto" w:sz="4" w:space="0"/>
            </w:tcBorders>
            <w:tcW w:w="518"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80,000.00</w:t>
            </w:r>
            <w:r/>
          </w:p>
        </w:tc>
        <w:tc>
          <w:tcPr>
            <w:tcBorders>
              <w:left w:val="single" w:color="auto" w:sz="4" w:space="0"/>
            </w:tcBorders>
            <w:tcW w:w="595"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846" w:type="dxa"/>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80,000.00</w:t>
            </w:r>
            <w:r/>
          </w:p>
        </w:tc>
        <w:tc>
          <w:tcPr>
            <w:tcBorders>
              <w:right w:val="single" w:color="auto" w:sz="4" w:space="0"/>
            </w:tcBorders>
            <w:tcW w:w="396"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gridSpan w:val="2"/>
            <w:tcBorders>
              <w:bottom w:val="single" w:color="auto" w:sz="6" w:space="0"/>
              <w:right w:val="single" w:color="auto" w:sz="4" w:space="0"/>
            </w:tcBorders>
            <w:tcW w:w="858"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总价（元）</w:t>
            </w:r>
            <w:r/>
          </w:p>
        </w:tc>
        <w:tc>
          <w:tcPr>
            <w:gridSpan w:val="8"/>
            <w:tcBorders>
              <w:left w:val="single" w:color="auto" w:sz="4" w:space="0"/>
              <w:bottom w:val="single" w:color="auto" w:sz="6" w:space="0"/>
              <w:right w:val="single" w:color="auto" w:sz="4" w:space="0"/>
            </w:tcBorders>
            <w:tcW w:w="4141" w:type="pct"/>
            <w:vAlign w:val="center"/>
            <w:textDirection w:val="lrTb"/>
            <w:noWrap w:val="false"/>
          </w:tcPr>
          <w:p>
            <w:pPr>
              <w:pStyle w:val="9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rPr>
        <w:t xml:space="preserve">5、</w:t>
      </w:r>
      <w:r>
        <w:rPr>
          <w:rFonts w:hint="eastAsia" w:ascii="宋体" w:hAnsi="宋体" w:eastAsia="宋体" w:cs="宋体"/>
          <w:b/>
          <w:color w:val="auto"/>
          <w:szCs w:val="24"/>
          <w:highlight w:val="none"/>
        </w:rPr>
        <w:t xml:space="preserve">服务实施方案</w:t>
      </w:r>
      <w:r/>
    </w:p>
    <w:p>
      <w:pPr>
        <w:pStyle w:val="977"/>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77"/>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服务实施方案</w:t>
      </w:r>
      <w:r/>
    </w:p>
    <w:p>
      <w:pPr>
        <w:pStyle w:val="978"/>
        <w:ind w:firstLine="0"/>
        <w:jc w:val="center"/>
        <w:rPr>
          <w:rFonts w:hint="eastAsia" w:ascii="宋体" w:hAnsi="宋体"/>
          <w:b/>
          <w:color w:val="auto"/>
          <w:highlight w:val="none"/>
        </w:rPr>
      </w:pPr>
      <w:r>
        <w:rPr>
          <w:rFonts w:hint="eastAsia" w:ascii="宋体" w:hAnsi="宋体"/>
          <w:b/>
          <w:color w:val="auto"/>
          <w:highlight w:val="none"/>
        </w:rPr>
      </w:r>
      <w:r/>
    </w:p>
    <w:tbl>
      <w:tblPr>
        <w:tblStyle w:val="95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hAnsi="宋体" w:eastAsia="宋体" w:cs="宋体"/>
                <w:color w:val="auto"/>
                <w:sz w:val="24"/>
                <w:szCs w:val="24"/>
                <w:highlight w:val="none"/>
              </w:rPr>
              <w:t xml:space="preserve">供应商应根据本次采购项目要求，对所</w:t>
            </w:r>
            <w:r>
              <w:rPr>
                <w:rFonts w:hint="eastAsia" w:hAnsi="宋体" w:eastAsia="宋体" w:cs="宋体"/>
                <w:color w:val="auto"/>
                <w:sz w:val="24"/>
                <w:szCs w:val="24"/>
                <w:highlight w:val="none"/>
                <w:lang w:eastAsia="zh"/>
              </w:rPr>
              <w:t xml:space="preserve">响应标的</w:t>
            </w:r>
            <w:r>
              <w:rPr>
                <w:rFonts w:hint="eastAsia"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br w:type="page" w:clear="all"/>
      </w:r>
      <w:r>
        <w:rPr>
          <w:rFonts w:hint="eastAsia" w:ascii="宋体" w:hAnsi="宋体" w:eastAsia="宋体"/>
          <w:b/>
          <w:bCs/>
          <w:color w:val="auto"/>
          <w:highlight w:val="none"/>
        </w:rPr>
        <w:t xml:space="preserve">6、商务要求偏离表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9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964"/>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964"/>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lang w:eastAsia="zh-CN"/>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964"/>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0"/>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t xml:space="preserve">7、服务或技术要求偏离表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9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964"/>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964"/>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lang w:eastAsia="zh-CN"/>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964"/>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对所响应标的物</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4"/>
        <w:rPr>
          <w:color w:val="auto"/>
          <w:highlight w:val="none"/>
        </w:rPr>
      </w:pPr>
      <w:r>
        <w:rPr>
          <w:color w:val="auto"/>
          <w:highlight w:val="none"/>
        </w:rPr>
      </w:r>
      <w:r/>
    </w:p>
    <w:p>
      <w:pPr>
        <w:pStyle w:val="964"/>
        <w:ind w:left="0" w:firstLine="0"/>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8、</w:t>
      </w: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35"/>
        <w:gridCol w:w="742"/>
        <w:gridCol w:w="742"/>
        <w:gridCol w:w="742"/>
        <w:gridCol w:w="851"/>
        <w:gridCol w:w="1222"/>
        <w:gridCol w:w="1179"/>
        <w:gridCol w:w="1415"/>
      </w:tblGrid>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color w:val="auto"/>
          <w:highlight w:val="none"/>
        </w:rPr>
      </w:pPr>
      <w:r>
        <w:rPr>
          <w:color w:val="auto"/>
          <w:highlight w:val="none"/>
        </w:rPr>
      </w:r>
      <w:r/>
    </w:p>
    <w:p>
      <w:pPr>
        <w:pStyle w:val="970"/>
        <w:ind w:firstLine="48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t xml:space="preserve">注：请将相关证明材料复印件加盖公章后附在本表后面。</w:t>
      </w:r>
      <w:r/>
    </w:p>
    <w:p>
      <w:pPr>
        <w:pStyle w:val="970"/>
        <w:ind w:firstLine="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r>
      <w:r/>
    </w:p>
    <w:p>
      <w:pPr>
        <w:pStyle w:val="975"/>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5"/>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b/>
          <w:color w:val="auto"/>
          <w:szCs w:val="24"/>
          <w:highlight w:val="none"/>
        </w:rPr>
        <w:br w:type="page" w:clear="all"/>
      </w:r>
      <w:r/>
    </w:p>
    <w:p>
      <w:pPr>
        <w:pStyle w:val="978"/>
        <w:ind w:firstLine="0"/>
        <w:rPr>
          <w:rFonts w:hint="eastAsia" w:ascii="宋体" w:hAnsi="宋体"/>
          <w:b/>
          <w:color w:val="auto"/>
          <w:highlight w:val="none"/>
        </w:rPr>
        <w:outlineLvl w:val="1"/>
      </w:pPr>
      <w:r>
        <w:rPr>
          <w:rFonts w:hint="eastAsia" w:ascii="宋体" w:hAnsi="宋体"/>
          <w:b/>
          <w:color w:val="auto"/>
          <w:highlight w:val="none"/>
        </w:rPr>
        <w:t xml:space="preserve">9、类似项目一览表</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类似项目一览表</w:t>
      </w:r>
      <w:r/>
    </w:p>
    <w:p>
      <w:pPr>
        <w:jc w:val="center"/>
        <w:spacing w:line="360" w:lineRule="auto"/>
        <w:rPr>
          <w:rFonts w:hint="eastAsia" w:ascii="宋体" w:hAnsi="宋体" w:eastAsia="宋体"/>
          <w:color w:val="auto"/>
          <w:sz w:val="30"/>
          <w:highlight w:val="none"/>
        </w:rPr>
      </w:pPr>
      <w:r>
        <w:rPr>
          <w:rFonts w:hint="eastAsia" w:ascii="宋体" w:hAnsi="宋体" w:eastAsia="宋体"/>
          <w:color w:val="auto"/>
          <w:sz w:val="30"/>
          <w:highlight w:val="none"/>
        </w:rPr>
      </w:r>
      <w:r/>
    </w:p>
    <w:tbl>
      <w:tblPr>
        <w:tblStyle w:val="950"/>
        <w:tblW w:w="7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958"/>
      </w:tblGrid>
      <w:tr>
        <w:trPr>
          <w:jc w:val="center"/>
          <w:trHeight w:val="1253"/>
        </w:trPr>
        <w:tc>
          <w:tcPr>
            <w:tcW w:w="833"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59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合同金额</w:t>
            </w:r>
            <w:r>
              <w:rPr>
                <w:rFonts w:hint="eastAsia" w:ascii="宋体" w:hAnsi="宋体" w:eastAsia="宋体"/>
                <w:color w:val="auto"/>
                <w:sz w:val="24"/>
                <w:szCs w:val="24"/>
                <w:highlight w:val="none"/>
              </w:rPr>
              <w:t xml:space="preserve">（元）</w:t>
            </w:r>
            <w:r/>
          </w:p>
        </w:tc>
        <w:tc>
          <w:tcPr>
            <w:tcW w:w="1565"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958"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注：请将其他相关证明材料复印件加盖公章后附在本表后面。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10、资格证明文件</w:t>
      </w:r>
      <w:r/>
    </w:p>
    <w:p>
      <w:pPr>
        <w:pStyle w:val="970"/>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（1）资格文件的声明函</w:t>
      </w:r>
      <w:r/>
    </w:p>
    <w:p>
      <w:pPr>
        <w:pStyle w:val="970"/>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0"/>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资格文件的声明函</w:t>
      </w:r>
      <w:r/>
    </w:p>
    <w:p>
      <w:pPr>
        <w:pStyle w:val="970"/>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0"/>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u w:val="single"/>
        </w:rPr>
        <w:t xml:space="preserve">苏州诚和招投标咨询有限公司</w:t>
      </w:r>
      <w:r>
        <w:rPr>
          <w:rFonts w:hint="eastAsia" w:ascii="宋体" w:hAnsi="宋体" w:eastAsia="宋体"/>
          <w:color w:val="auto"/>
          <w:szCs w:val="24"/>
          <w:highlight w:val="none"/>
        </w:rPr>
        <w:t xml:space="preserve">：</w:t>
      </w:r>
      <w:r/>
    </w:p>
    <w:p>
      <w:pPr>
        <w:pStyle w:val="970"/>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本公司愿就由贵公司组织实施的编号为</w:t>
      </w:r>
      <w:r>
        <w:rPr>
          <w:rFonts w:hint="eastAsia"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号的磋商采购活动进行响应。本公司所提交的</w:t>
      </w:r>
      <w:r>
        <w:rPr>
          <w:rFonts w:hint="eastAsia" w:ascii="宋体" w:hAnsi="宋体" w:eastAsia="宋体"/>
          <w:color w:val="auto"/>
          <w:szCs w:val="24"/>
          <w:highlight w:val="none"/>
          <w:lang w:eastAsia="zh-CN"/>
        </w:rPr>
        <w:t xml:space="preserve">响应文件</w:t>
      </w:r>
      <w:r>
        <w:rPr>
          <w:rFonts w:hint="eastAsia" w:ascii="宋体" w:hAnsi="宋体" w:eastAsia="宋体"/>
          <w:color w:val="auto"/>
          <w:szCs w:val="24"/>
          <w:highlight w:val="none"/>
        </w:rPr>
        <w:t xml:space="preserve">中所有关于磋商资格的文件、证明和陈述均是真实的、准确的。若与真实情况不符，本公司愿意承担由此而产生的一切后果。</w:t>
      </w:r>
      <w:r/>
    </w:p>
    <w:p>
      <w:pPr>
        <w:pStyle w:val="970"/>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0"/>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b/>
          <w:color w:val="auto"/>
          <w:sz w:val="24"/>
          <w:highlight w:val="none"/>
          <w:shd w:val="clear" w:color="auto" w:fill="ffffff"/>
        </w:rPr>
        <w:outlineLvl w:val="2"/>
      </w:pPr>
      <w:r>
        <w:rPr>
          <w:rFonts w:hint="eastAsia" w:ascii="宋体" w:hAnsi="宋体" w:eastAsia="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供应商基本情况表</w:t>
      </w:r>
      <w:r/>
    </w:p>
    <w:p>
      <w:pPr>
        <w:ind w:firstLine="48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单位名称：</w:t>
      </w:r>
      <w:r/>
    </w:p>
    <w:tbl>
      <w:tblPr>
        <w:tblStyle w:val="95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b/>
          <w:color w:val="auto"/>
          <w:sz w:val="24"/>
          <w:szCs w:val="24"/>
          <w:highlight w:val="none"/>
        </w:rPr>
      </w:pPr>
      <w:r>
        <w:rPr>
          <w:rFonts w:hint="eastAsia" w:ascii="宋体" w:hAnsi="宋体" w:eastAsia="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29" w:name="OLE_LINK5"/>
      <w:r/>
      <w:bookmarkStart w:id="30" w:name="OLE_LINK6"/>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29"/>
      <w:r/>
      <w:bookmarkEnd w:id="3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ind w:firstLine="480"/>
        <w:jc w:val="both"/>
        <w:spacing w:beforeAutospacing="0" w:afterAutospacing="0" w:line="360" w:lineRule="auto"/>
        <w:rPr>
          <w:rFonts w:hint="eastAsia" w:ascii="宋体" w:hAnsi="宋体" w:eastAsia="宋体" w:cs="方正魏碑_GBK"/>
          <w:color w:val="000000" w:themeColor="text1"/>
          <w:szCs w:val="24"/>
          <w:highlight w:val="none"/>
          <w14:textFill>
            <w14:solidFill>
              <w14:schemeClr w14:val="tx1"/>
            </w14:solidFill>
          </w14:textFill>
        </w:rPr>
      </w:pPr>
      <w:r/>
      <w:bookmarkStart w:id="31" w:name="OLE_LINK12"/>
      <w:r>
        <w:rPr>
          <w:rFonts w:hint="eastAsia" w:ascii="宋体" w:hAnsi="宋体" w:eastAsia="宋体" w:cs="方正魏碑_GBK"/>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firstLine="480"/>
        <w:jc w:val="both"/>
        <w:spacing w:beforeAutospacing="0" w:afterAutospacing="0" w:line="360" w:lineRule="auto"/>
        <w:rPr>
          <w:rFonts w:hint="eastAsia" w:ascii="宋体" w:hAnsi="宋体" w:eastAsia="宋体" w:cs="方正魏碑_GBK"/>
          <w:color w:val="000000" w:themeColor="text1"/>
          <w:szCs w:val="24"/>
          <w:highlight w:val="none"/>
          <w14:textFill>
            <w14:solidFill>
              <w14:schemeClr w14:val="tx1"/>
            </w14:solidFill>
          </w14:textFill>
        </w:rPr>
      </w:pP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1.</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Style w:val="967"/>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（厂名）</w:t>
      </w:r>
      <w:r>
        <w:rPr>
          <w:rStyle w:val="967"/>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 </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（规定</w:t>
      </w:r>
      <w:r>
        <w:rPr>
          <w:rStyle w:val="967"/>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比例</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967"/>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w:t>
      </w:r>
      <w:r>
        <w:rPr>
          <w:rStyle w:val="967"/>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组件</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967"/>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967"/>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（关键工序）</w:t>
      </w:r>
      <w:r>
        <w:rPr>
          <w:rStyle w:val="967"/>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pStyle w:val="963"/>
        <w:ind w:firstLine="480"/>
        <w:jc w:val="both"/>
        <w:spacing w:beforeAutospacing="0" w:afterAutospacing="0" w:line="360" w:lineRule="auto"/>
        <w:rPr>
          <w:rFonts w:hint="eastAsia"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（厂名）</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（规定比例）</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（关键组件）</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w:t>
      </w:r>
      <w:r>
        <w:rPr>
          <w:rFonts w:hint="eastAsia" w:ascii="宋体" w:hAnsi="宋体" w:eastAsia="宋体" w:cs="方正魏碑_GBK"/>
          <w:color w:val="000000" w:themeColor="text1"/>
          <w:szCs w:val="24"/>
          <w:highlight w:val="none"/>
          <w:u w:val="single"/>
          <w:shd w:val="clear" w:color="auto" w:fill="ffffff"/>
          <w:lang w:val="en-US" w:eastAsia="zh-CN"/>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（关键工序）</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ind w:firstLine="480"/>
        <w:jc w:val="both"/>
        <w:spacing w:line="360" w:lineRule="auto"/>
        <w:rPr>
          <w:sz w:val="24"/>
          <w:szCs w:val="24"/>
          <w:highlight w:val="none"/>
          <w:lang w:val="zh-CN"/>
        </w:rPr>
      </w:pPr>
      <w:r>
        <w:rPr>
          <w:rFonts w:hint="eastAsia"/>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32"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32"/>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963"/>
        <w:ind w:firstLine="480"/>
        <w:jc w:val="both"/>
        <w:spacing w:beforeAutospacing="0" w:afterAutospacing="0" w:line="360" w:lineRule="auto"/>
        <w:rPr>
          <w:rFonts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6.用斜线划除的地方无需填写。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31"/>
      <w:r/>
      <w:r/>
    </w:p>
    <w:p>
      <w:pPr>
        <w:pStyle w:val="95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pStyle w:val="970"/>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5</w:t>
      </w:r>
      <w:r>
        <w:rPr>
          <w:rFonts w:hint="eastAsia" w:ascii="宋体" w:hAnsi="宋体" w:eastAsia="宋体"/>
          <w:b/>
          <w:color w:val="auto"/>
          <w:szCs w:val="24"/>
          <w:highlight w:val="none"/>
        </w:rPr>
        <w:t xml:space="preserve">）中小企业声明函</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租赁和商务服务业行业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rPr>
        <w:t xml:space="preserve">租赁和商务服务业行业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70"/>
        <w:ind w:firstLine="0"/>
        <w:spacing w:line="360" w:lineRule="auto"/>
        <w:rPr>
          <w:rFonts w:hint="eastAsia" w:ascii="宋体" w:hAnsi="宋体" w:eastAsia="宋体"/>
          <w:b/>
          <w:bCs/>
          <w:color w:val="auto"/>
          <w:szCs w:val="24"/>
          <w:highlight w:val="none"/>
        </w:rPr>
        <w:outlineLvl w:val="2"/>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6）</w:t>
      </w:r>
      <w:r>
        <w:rPr>
          <w:rFonts w:hint="eastAsia" w:ascii="宋体" w:hAnsi="宋体" w:eastAsia="宋体"/>
          <w:b/>
          <w:bCs/>
          <w:color w:val="auto"/>
          <w:szCs w:val="24"/>
          <w:highlight w:val="none"/>
        </w:rPr>
        <w:t xml:space="preserve">残疾人福利性单位声明函</w:t>
      </w:r>
      <w:r/>
    </w:p>
    <w:p>
      <w:pPr>
        <w:pStyle w:val="979"/>
        <w:jc w:val="center"/>
        <w:spacing w:beforeAutospacing="0" w:afterAutospacing="0" w:line="360" w:lineRule="auto"/>
        <w:rPr>
          <w:rFonts w:hint="eastAsia"/>
          <w:b/>
          <w:bCs/>
          <w:color w:val="auto"/>
          <w:highlight w:val="none"/>
        </w:rPr>
      </w:pPr>
      <w:r>
        <w:rPr>
          <w:rFonts w:hint="eastAsia"/>
          <w:b/>
          <w:bCs/>
          <w:color w:val="auto"/>
          <w:highlight w:val="none"/>
        </w:rPr>
      </w:r>
      <w:r/>
    </w:p>
    <w:p>
      <w:pPr>
        <w:pStyle w:val="979"/>
        <w:jc w:val="center"/>
        <w:spacing w:beforeAutospacing="0" w:afterAutospacing="0" w:line="360" w:lineRule="auto"/>
        <w:rPr>
          <w:rFonts w:hint="eastAsia"/>
          <w:b/>
          <w:bCs/>
          <w:color w:val="auto"/>
          <w:highlight w:val="none"/>
        </w:rPr>
      </w:pPr>
      <w:r>
        <w:rPr>
          <w:rFonts w:hint="eastAsia"/>
          <w:b/>
          <w:bCs/>
          <w:color w:val="auto"/>
          <w:highlight w:val="none"/>
        </w:rPr>
        <w:t xml:space="preserve">残疾人福利性单位声明函</w:t>
      </w:r>
      <w:r/>
    </w:p>
    <w:p>
      <w:pPr>
        <w:pStyle w:val="979"/>
        <w:ind w:firstLine="480"/>
        <w:spacing w:beforeAutospacing="0" w:afterAutospacing="0" w:line="360" w:lineRule="auto"/>
        <w:rPr>
          <w:rFonts w:hint="eastAsia"/>
          <w:color w:val="auto"/>
          <w:highlight w:val="none"/>
        </w:rPr>
      </w:pPr>
      <w:r>
        <w:rPr>
          <w:rFonts w:hint="eastAsia"/>
          <w:color w:val="auto"/>
          <w:highlight w:val="none"/>
        </w:rPr>
      </w:r>
      <w:r/>
    </w:p>
    <w:p>
      <w:pPr>
        <w:pStyle w:val="979"/>
        <w:ind w:firstLine="480"/>
        <w:spacing w:beforeAutospacing="0" w:afterAutospacing="0" w:line="360" w:lineRule="auto"/>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9"/>
        <w:ind w:firstLine="480"/>
        <w:spacing w:beforeAutospacing="0" w:afterAutospacing="0" w:line="360" w:lineRule="auto"/>
        <w:rPr>
          <w:rFonts w:hint="eastAsia"/>
          <w:color w:val="auto"/>
          <w:highlight w:val="none"/>
        </w:rPr>
      </w:pPr>
      <w:r>
        <w:rPr>
          <w:rFonts w:hint="eastAsia"/>
          <w:color w:val="auto"/>
          <w:highlight w:val="none"/>
        </w:rPr>
        <w:t xml:space="preserve">本单位对上述声明的真实性负责。如有虚假，将依法承担相应责任。</w:t>
      </w:r>
      <w:r/>
    </w:p>
    <w:p>
      <w:pPr>
        <w:pStyle w:val="979"/>
        <w:ind w:firstLine="480"/>
        <w:spacing w:beforeAutospacing="0" w:afterAutospacing="0" w:line="360" w:lineRule="auto"/>
        <w:rPr>
          <w:rFonts w:hint="eastAsia"/>
          <w:color w:val="auto"/>
          <w:highlight w:val="none"/>
        </w:rPr>
      </w:pPr>
      <w:r>
        <w:rPr>
          <w:rFonts w:hint="eastAsia"/>
          <w:color w:val="auto"/>
          <w:highlight w:val="none"/>
        </w:rPr>
      </w:r>
      <w:r/>
    </w:p>
    <w:p>
      <w:pPr>
        <w:pStyle w:val="979"/>
        <w:ind w:firstLine="480"/>
        <w:spacing w:beforeAutospacing="0" w:afterAutospacing="0" w:line="360" w:lineRule="auto"/>
        <w:rPr>
          <w:rFonts w:hint="eastAsia"/>
          <w:color w:val="auto"/>
          <w:highlight w:val="none"/>
        </w:rPr>
      </w:pPr>
      <w:r>
        <w:rPr>
          <w:rFonts w:hint="eastAsia"/>
          <w:color w:val="auto"/>
          <w:highlight w:val="none"/>
        </w:rPr>
      </w:r>
      <w:r/>
    </w:p>
    <w:p>
      <w:pPr>
        <w:pStyle w:val="979"/>
        <w:ind w:firstLine="480"/>
        <w:spacing w:beforeAutospacing="0" w:afterAutospacing="0" w:line="360" w:lineRule="auto"/>
        <w:rPr>
          <w:rFonts w:hint="eastAsia"/>
          <w:color w:val="auto"/>
          <w:highlight w:val="none"/>
        </w:rPr>
      </w:pPr>
      <w:r>
        <w:rPr>
          <w:rFonts w:hint="eastAsia"/>
          <w:color w:val="auto"/>
          <w:highlight w:val="none"/>
        </w:rPr>
        <w:t xml:space="preserve">单位名称（盖章）：</w:t>
      </w:r>
      <w:r/>
    </w:p>
    <w:p>
      <w:pPr>
        <w:pStyle w:val="979"/>
        <w:ind w:firstLine="480"/>
        <w:spacing w:beforeAutospacing="0" w:afterAutospacing="0" w:line="360" w:lineRule="auto"/>
        <w:rPr>
          <w:rFonts w:hint="eastAsia"/>
          <w:color w:val="auto"/>
          <w:highlight w:val="none"/>
        </w:rPr>
      </w:pPr>
      <w:r>
        <w:rPr>
          <w:rFonts w:hint="eastAsia"/>
          <w:color w:val="auto"/>
          <w:highlight w:val="none"/>
        </w:rPr>
        <w:t xml:space="preserve">日期：</w:t>
      </w:r>
      <w:r>
        <w:rPr>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33"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33"/>
      <w:r>
        <w:rPr>
          <w:rFonts w:hint="eastAsia" w:ascii="宋体" w:hAnsi="宋体" w:eastAsia="宋体" w:cs="宋体"/>
          <w:b/>
          <w:color w:val="auto"/>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b/>
          <w:color w:val="auto"/>
          <w:sz w:val="24"/>
          <w:szCs w:val="24"/>
          <w:highlight w:val="none"/>
        </w:rPr>
        <w:outlineLvl w:val="2"/>
      </w:pPr>
      <w:r>
        <w:rPr>
          <w:rFonts w:hint="eastAsia"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）供应商与其他单位存在直接控股、管理关系情况表</w:t>
      </w:r>
      <w:r/>
    </w:p>
    <w:p>
      <w:pPr>
        <w:jc w:val="center"/>
        <w:spacing w:line="360" w:lineRule="auto"/>
        <w:widowControl/>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360" w:lineRule="auto"/>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4"/>
          <w:highlight w:val="none"/>
          <w:shd w:val="clear" w:color="auto" w:fill="ffffff"/>
        </w:rPr>
        <w:t xml:space="preserve">供应商与其他单位存在直接控股、管理关系情况表</w:t>
      </w:r>
      <w:r/>
    </w:p>
    <w:p>
      <w:pPr>
        <w:ind w:firstLine="420"/>
        <w:rPr>
          <w:rFonts w:hint="eastAsia" w:ascii="宋体" w:hAnsi="宋体" w:eastAsia="宋体"/>
          <w:color w:val="auto"/>
          <w:sz w:val="21"/>
          <w:highlight w:val="none"/>
          <w:shd w:val="clear" w:color="auto" w:fill="ffffff"/>
        </w:rPr>
      </w:pPr>
      <w:r>
        <w:rPr>
          <w:rFonts w:hint="eastAsia" w:ascii="宋体" w:hAnsi="宋体" w:eastAsia="宋体"/>
          <w:color w:val="auto"/>
          <w:sz w:val="21"/>
          <w:highlight w:val="none"/>
          <w:shd w:val="clear" w:color="auto" w:fill="ffffff"/>
        </w:rPr>
        <w:t xml:space="preserve">单位名称：</w:t>
      </w:r>
      <w:r/>
    </w:p>
    <w:tbl>
      <w:tblPr>
        <w:tblStyle w:val="9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是否直接控股</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直接控股关系情况说明</w:t>
            </w:r>
            <w:r>
              <w:rPr>
                <w:rFonts w:hint="eastAsia" w:ascii="宋体" w:hAnsi="宋体" w:eastAsia="宋体"/>
                <w:b/>
                <w:color w:val="auto"/>
                <w:sz w:val="18"/>
                <w:szCs w:val="18"/>
                <w:highlight w:val="none"/>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bl>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如填写“无”或不填写，均视为投标人声明不存在有关情形。</w:t>
      </w:r>
      <w:r/>
    </w:p>
    <w:p>
      <w:pPr>
        <w:pStyle w:val="980"/>
        <w:ind w:left="0" w:firstLine="482"/>
        <w:spacing w:line="360" w:lineRule="auto"/>
        <w:rPr>
          <w:rFonts w:hint="eastAsia"/>
          <w:color w:val="auto"/>
          <w:highlight w:val="none"/>
        </w:rPr>
      </w:pPr>
      <w:r>
        <w:rPr>
          <w:rFonts w:hint="eastAsia" w:ascii="宋体" w:hAnsi="宋体" w:eastAsia="宋体"/>
          <w:b/>
          <w:color w:val="auto"/>
          <w:szCs w:val="24"/>
          <w:highlight w:val="none"/>
          <w:shd w:val="clear" w:color="auto" w:fill="ffffff"/>
        </w:rPr>
        <w:t xml:space="preserve">2、其中“直接控股”是指投标人与大型企业之间存在直接投资并控股（非普通持股）的关系。</w:t>
      </w:r>
      <w:r/>
    </w:p>
    <w:p>
      <w:pPr>
        <w:pStyle w:val="979"/>
        <w:ind w:firstLine="480"/>
        <w:spacing w:beforeAutospacing="0" w:afterAutospacing="0" w:line="360" w:lineRule="auto"/>
        <w:rPr>
          <w:rFonts w:hint="eastAsia"/>
          <w:color w:val="auto"/>
          <w:highlight w:val="none"/>
        </w:rPr>
      </w:pPr>
      <w:r>
        <w:rPr>
          <w:rFonts w:hint="eastAsia"/>
          <w:color w:val="auto"/>
          <w:highlight w:val="none"/>
        </w:rPr>
      </w:r>
      <w:r/>
    </w:p>
    <w:p>
      <w:pPr>
        <w:pStyle w:val="979"/>
        <w:ind w:firstLine="480"/>
        <w:spacing w:beforeAutospacing="0" w:afterAutospacing="0" w:line="360" w:lineRule="auto"/>
        <w:rPr>
          <w:rFonts w:hint="eastAsia"/>
          <w:color w:val="auto"/>
          <w:highlight w:val="none"/>
        </w:rPr>
      </w:pPr>
      <w:r>
        <w:rPr>
          <w:rFonts w:hint="eastAsia"/>
          <w:color w:val="auto"/>
          <w:highlight w:val="none"/>
        </w:rPr>
      </w:r>
      <w:r/>
    </w:p>
    <w:p>
      <w:pPr>
        <w:pStyle w:val="979"/>
        <w:ind w:firstLine="480"/>
        <w:spacing w:beforeAutospacing="0" w:afterAutospacing="0" w:line="360" w:lineRule="auto"/>
        <w:rPr>
          <w:rFonts w:hint="eastAsia"/>
          <w:color w:val="auto"/>
          <w:highlight w:val="none"/>
        </w:rPr>
      </w:pPr>
      <w:r>
        <w:rPr>
          <w:rFonts w:hint="eastAsia"/>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4"/>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Times New Roman"/>
          <w:b/>
          <w:color w:val="auto"/>
          <w:sz w:val="24"/>
          <w:szCs w:val="20"/>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最终报价表</w:t>
      </w:r>
      <w:r/>
    </w:p>
    <w:p>
      <w:pPr>
        <w:pStyle w:val="964"/>
        <w:numPr>
          <w:ilvl w:val="0"/>
          <w:numId w:val="0"/>
        </w:num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最终报价表</w:t>
      </w:r>
      <w:r/>
    </w:p>
    <w:tbl>
      <w:tblPr>
        <w:tblStyle w:val="965"/>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2"/>
        <w:gridCol w:w="4131"/>
      </w:tblGrid>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项目名称：</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项目编号：</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分包号：</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报价批次：</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分包预算：</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供应商名称：</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大写金额：</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小写金额：</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964"/>
        <w:numPr>
          <w:ilvl w:val="0"/>
          <w:numId w:val="0"/>
        </w:numPr>
        <w:ind w:left="84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right"/>
        <w:rPr>
          <w:rFonts w:hint="eastAsia" w:ascii="宋体" w:hAnsi="宋体" w:eastAsia="宋体" w:cs="宋体"/>
          <w:b w:val="0"/>
          <w:bCs/>
          <w:color w:val="auto"/>
          <w:sz w:val="24"/>
          <w:szCs w:val="24"/>
          <w:highlight w:val="none"/>
          <w:lang w:eastAsia="zh-CN"/>
        </w:rPr>
        <w:outlineLvl w:val="9"/>
      </w:pPr>
      <w:r/>
      <w:bookmarkStart w:id="34" w:name="_Toc13642115"/>
      <w:r/>
      <w:bookmarkStart w:id="35" w:name="_Toc8248"/>
      <w:r>
        <w:rPr>
          <w:rFonts w:hint="eastAsia" w:ascii="宋体" w:hAnsi="宋体" w:eastAsia="宋体" w:cs="宋体"/>
          <w:b w:val="0"/>
          <w:bCs/>
          <w:color w:val="auto"/>
          <w:sz w:val="24"/>
          <w:szCs w:val="24"/>
          <w:highlight w:val="none"/>
        </w:rPr>
        <w:t xml:space="preserve">供应商法定代表人或授权代表签章</w:t>
      </w:r>
      <w:r>
        <w:rPr>
          <w:rFonts w:hint="eastAsia" w:ascii="宋体" w:hAnsi="宋体" w:eastAsia="宋体" w:cs="宋体"/>
          <w:b w:val="0"/>
          <w:bCs/>
          <w:color w:val="auto"/>
          <w:sz w:val="24"/>
          <w:szCs w:val="24"/>
          <w:highlight w:val="none"/>
          <w:lang w:eastAsia="zh-CN"/>
        </w:rPr>
        <w:t xml:space="preserve">：</w:t>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注：如若成交，成交供应商提供的</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rPr>
        <w:t xml:space="preserve">按最终总报价同比例下（上）浮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但合同价明细合计必须与最终总报价一致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例：最终总报价相比第一次报价下浮10%，则合同明细单价=第一次报价中单价×90%。</w:t>
      </w:r>
      <w:r/>
    </w:p>
    <w:p>
      <w:pPr>
        <w:rPr>
          <w:rFonts w:hint="eastAsia" w:ascii="宋体" w:hAnsi="宋体" w:eastAsia="宋体"/>
          <w:color w:val="auto"/>
          <w:sz w:val="52"/>
          <w:highlight w:val="none"/>
          <w:lang w:eastAsia="zh-CN"/>
        </w:rPr>
      </w:pPr>
      <w:r>
        <w:rPr>
          <w:rFonts w:hint="eastAsia" w:ascii="宋体" w:hAnsi="宋体" w:eastAsia="宋体"/>
          <w:color w:val="auto"/>
          <w:sz w:val="52"/>
          <w:highlight w:val="none"/>
          <w:lang w:eastAsia="zh-CN"/>
        </w:rPr>
      </w:r>
      <w:r/>
    </w:p>
    <w:p>
      <w:pPr>
        <w:rPr>
          <w:rFonts w:hint="eastAsia"/>
          <w:color w:val="auto"/>
          <w:highlight w:val="none"/>
          <w:lang w:eastAsia="zh-CN"/>
        </w:rPr>
      </w:pPr>
      <w:r>
        <w:rPr>
          <w:rFonts w:hint="eastAsia"/>
          <w:color w:val="auto"/>
          <w:highlight w:val="none"/>
          <w:lang w:eastAsia="zh-CN"/>
        </w:rPr>
        <w:br w:type="page" w:clear="all"/>
      </w:r>
      <w:r/>
    </w:p>
    <w:p>
      <w:pPr>
        <w:pStyle w:val="959"/>
        <w:rPr>
          <w:rFonts w:hint="eastAsia"/>
          <w:color w:val="auto"/>
          <w:highlight w:val="none"/>
          <w:lang w:eastAsia="zh-CN"/>
        </w:rPr>
      </w:pPr>
      <w:r>
        <w:rPr>
          <w:rFonts w:hint="eastAsia"/>
          <w:color w:val="auto"/>
          <w:highlight w:val="none"/>
          <w:lang w:eastAsia="zh-CN"/>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47"/>
        <w:jc w:val="center"/>
        <w:keepLines/>
        <w:keepNext/>
        <w:pageBreakBefore w:val="0"/>
        <w:spacing w:before="0" w:after="0" w:line="360" w:lineRule="auto"/>
        <w:widowControl w:val="off"/>
        <w:rPr>
          <w:rFonts w:hint="eastAsia" w:ascii="宋体" w:hAnsi="宋体" w:eastAsia="宋体"/>
          <w:color w:val="auto"/>
          <w:sz w:val="52"/>
          <w:highlight w:val="none"/>
        </w:rPr>
      </w:pPr>
      <w:r/>
      <w:bookmarkStart w:id="36" w:name="_Toc31937"/>
      <w:r>
        <w:rPr>
          <w:rFonts w:hint="eastAsia" w:ascii="宋体" w:hAnsi="宋体" w:eastAsia="宋体"/>
          <w:color w:val="auto"/>
          <w:sz w:val="52"/>
          <w:highlight w:val="none"/>
        </w:rPr>
        <w:t xml:space="preserve">第四章 </w:t>
      </w:r>
      <w:bookmarkEnd w:id="34"/>
      <w:r>
        <w:rPr>
          <w:rFonts w:hint="eastAsia" w:ascii="宋体" w:hAnsi="宋体" w:eastAsia="宋体"/>
          <w:color w:val="auto"/>
          <w:sz w:val="52"/>
          <w:highlight w:val="none"/>
        </w:rPr>
        <w:t xml:space="preserve">采购内容</w:t>
      </w:r>
      <w:bookmarkEnd w:id="35"/>
      <w:r/>
      <w:bookmarkEnd w:id="36"/>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w:t>
      </w:r>
      <w:r>
        <w:rPr>
          <w:rFonts w:hint="eastAsia" w:ascii="宋体" w:hAnsi="宋体" w:eastAsia="宋体" w:cs="宋体"/>
          <w:color w:val="auto"/>
          <w:sz w:val="24"/>
          <w:szCs w:val="24"/>
          <w:highlight w:val="none"/>
          <w:lang w:eastAsia="zh-CN"/>
        </w:rPr>
        <w:t xml:space="preserve">苏州市生态环境局</w:t>
      </w:r>
      <w:r>
        <w:rPr>
          <w:rFonts w:hint="eastAsia" w:ascii="宋体" w:hAnsi="宋体" w:eastAsia="宋体" w:cs="宋体"/>
          <w:color w:val="auto"/>
          <w:sz w:val="24"/>
          <w:szCs w:val="24"/>
          <w:highlight w:val="none"/>
        </w:rPr>
        <w:t xml:space="preserve">的委托，就其所需的</w:t>
      </w:r>
      <w:r>
        <w:rPr>
          <w:rFonts w:hint="eastAsia" w:ascii="宋体" w:hAnsi="宋体" w:eastAsia="宋体"/>
          <w:color w:val="auto"/>
          <w:sz w:val="24"/>
          <w:szCs w:val="24"/>
          <w:highlight w:val="none"/>
          <w:lang w:eastAsia="zh-CN"/>
        </w:rPr>
        <w:t xml:space="preserve">2026年太湖水源地自动站运维及重点湖泊水质藻情数据处理服务</w:t>
      </w:r>
      <w:r>
        <w:rPr>
          <w:rFonts w:hint="eastAsia" w:ascii="宋体" w:hAnsi="宋体" w:eastAsia="宋体" w:cs="宋体"/>
          <w:color w:val="auto"/>
          <w:sz w:val="24"/>
          <w:szCs w:val="24"/>
          <w:highlight w:val="none"/>
        </w:rPr>
        <w:t xml:space="preserve">组织竞争性磋商采购，</w:t>
      </w:r>
      <w:bookmarkStart w:id="37" w:name="_Hlk193378953"/>
      <w:r>
        <w:rPr>
          <w:rFonts w:hint="eastAsia" w:ascii="宋体" w:hAnsi="宋体" w:eastAsia="宋体" w:cs="宋体"/>
          <w:color w:val="auto"/>
          <w:sz w:val="24"/>
          <w:szCs w:val="24"/>
          <w:highlight w:val="none"/>
        </w:rPr>
        <w:t xml:space="preserve">欢迎符合条件的供应商</w:t>
      </w:r>
      <w:bookmarkEnd w:id="37"/>
      <w:r>
        <w:rPr>
          <w:rFonts w:hint="eastAsia" w:ascii="宋体" w:hAnsi="宋体" w:eastAsia="宋体" w:cs="宋体"/>
          <w:color w:val="auto"/>
          <w:sz w:val="24"/>
          <w:szCs w:val="24"/>
          <w:highlight w:val="none"/>
        </w:rPr>
        <w:t xml:space="preserve">前来参加磋商。</w:t>
      </w:r>
      <w:r/>
    </w:p>
    <w:p>
      <w:pPr>
        <w:pStyle w:val="981"/>
        <w:ind w:firstLine="482"/>
        <w:jc w:val="both"/>
        <w:spacing w:line="360" w:lineRule="auto"/>
        <w:rPr>
          <w:rFonts w:hint="eastAsia" w:ascii="宋体" w:hAnsi="宋体" w:eastAsia="宋体" w:cs="宋体"/>
          <w:b/>
          <w:bCs/>
          <w:color w:val="auto"/>
          <w:szCs w:val="24"/>
          <w:highlight w:val="none"/>
          <w:lang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b/>
          <w:bCs/>
          <w:color w:val="auto"/>
          <w:szCs w:val="24"/>
          <w:highlight w:val="none"/>
          <w:lang w:eastAsia="zh-CN"/>
        </w:rPr>
        <w:t xml:space="preserve">JSZC-320500-SZCH-C2026-0001</w:t>
      </w:r>
      <w:r/>
    </w:p>
    <w:p>
      <w:pPr>
        <w:pStyle w:val="981"/>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二、采购内容及要求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（一）项目背景：</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根据省厅《202</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年全省生态环境监测方案》等文件要求，苏州市生态环境局为了保证监测仪器的长期正常安全运行，保证监测数据的有效性、准确性，需对苏州市饮用水源地金墅港、渔洋山水质自动监测站及1个太阳能水站共24台（套）自动监测仪表进行运行维护管理。</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为保障上述站点自动监测系统的正常运行，保障综合决策提供稳定有效的数据，现采取第三方运行维护方式对已安装水质自动监测系统进行运行管理。依据国家、省、市政府采购有关规定，如出现严重影响维护质量的重大事件可提前中止合同。</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（二）采购具体内容：</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1、采购需求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lang w:eastAsia="zh-CN"/>
        </w:rPr>
        <w:t xml:space="preserve">2026年太湖水源地自动站运维及重点湖泊水质藻情数据处理服务</w:t>
      </w:r>
      <w:r>
        <w:rPr>
          <w:rFonts w:hint="eastAsia" w:ascii="宋体" w:hAnsi="宋体" w:eastAsia="宋体" w:cs="宋体"/>
          <w:b w:val="0"/>
          <w:bCs/>
          <w:color w:val="auto"/>
          <w:sz w:val="24"/>
          <w:szCs w:val="24"/>
          <w:highlight w:val="none"/>
        </w:rPr>
        <w:t xml:space="preserve">。包括金墅港、渔洋山2个饮用水源地水站，</w:t>
      </w:r>
      <w:r>
        <w:rPr>
          <w:rFonts w:hint="eastAsia" w:ascii="宋体" w:hAnsi="宋体" w:eastAsia="宋体" w:cs="宋体"/>
          <w:b w:val="0"/>
          <w:bCs/>
          <w:color w:val="auto"/>
          <w:sz w:val="24"/>
          <w:szCs w:val="24"/>
          <w:highlight w:val="none"/>
          <w:lang w:val="en-US" w:eastAsia="zh-CN"/>
        </w:rPr>
        <w:t xml:space="preserve">頔塘河</w:t>
      </w:r>
      <w:r>
        <w:rPr>
          <w:rFonts w:hint="eastAsia" w:ascii="宋体" w:hAnsi="宋体" w:eastAsia="宋体" w:cs="宋体"/>
          <w:b w:val="0"/>
          <w:bCs/>
          <w:color w:val="auto"/>
          <w:sz w:val="24"/>
          <w:szCs w:val="24"/>
          <w:highlight w:val="none"/>
        </w:rPr>
        <w:t xml:space="preserve">1个太阳能水站，共24台（套）自动监测仪表、38个监测项目和监测系统（包含人工、交通、通讯网络费、水电费和提供备品备件、质控用便携式仪表等）以及2台全球眼开展为期1年的运行维护，全年出具12份运维服务报告和2份半年度服务总结报告。</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供应商需任选一个</w:t>
      </w:r>
      <w:r>
        <w:rPr>
          <w:rFonts w:hint="eastAsia" w:ascii="宋体" w:hAnsi="宋体" w:eastAsia="宋体" w:cs="宋体"/>
          <w:b w:val="0"/>
          <w:bCs/>
          <w:color w:val="auto"/>
          <w:sz w:val="24"/>
          <w:szCs w:val="24"/>
          <w:highlight w:val="none"/>
        </w:rPr>
        <w:t xml:space="preserve">水源地水站</w:t>
      </w:r>
      <w:r>
        <w:rPr>
          <w:rFonts w:hint="eastAsia" w:ascii="宋体" w:hAnsi="宋体" w:eastAsia="宋体" w:cs="宋体"/>
          <w:b w:val="0"/>
          <w:bCs/>
          <w:color w:val="auto"/>
          <w:sz w:val="24"/>
          <w:szCs w:val="24"/>
          <w:highlight w:val="none"/>
          <w:lang w:val="en-US" w:eastAsia="zh-CN"/>
        </w:rPr>
        <w:t xml:space="preserve">进行智能化升级改造服务。升级后的智能化水站，能够减少运维频次，提高解决问题的效率，进一步提升水站的运行质量。</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同时，对水源地、国、省考断面溯源及报告编制提供技术支撑，每日对水源地、国、省考断面异常数据进行预警提醒。服务周期12个月。</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1.1本次采购的项目为苏州市金墅港、渔洋山2个饮用水源地水站，</w:t>
      </w:r>
      <w:r>
        <w:rPr>
          <w:rFonts w:hint="eastAsia" w:ascii="宋体" w:hAnsi="宋体" w:eastAsia="宋体" w:cs="宋体"/>
          <w:b w:val="0"/>
          <w:bCs/>
          <w:color w:val="auto"/>
          <w:sz w:val="24"/>
          <w:szCs w:val="24"/>
          <w:highlight w:val="none"/>
          <w:lang w:val="en-US" w:eastAsia="zh-CN"/>
        </w:rPr>
        <w:t xml:space="preserve">頔塘河</w:t>
      </w:r>
      <w:r>
        <w:rPr>
          <w:rFonts w:hint="eastAsia" w:ascii="宋体" w:hAnsi="宋体" w:eastAsia="宋体" w:cs="宋体"/>
          <w:b w:val="0"/>
          <w:bCs/>
          <w:color w:val="auto"/>
          <w:sz w:val="24"/>
          <w:szCs w:val="24"/>
          <w:highlight w:val="none"/>
        </w:rPr>
        <w:t xml:space="preserve">1个太阳能水站的运行维护及管理，本次采购的站点及托管运行维护的主要监测项目如表1、表2所示。</w:t>
      </w:r>
      <w:r/>
    </w:p>
    <w:p>
      <w:pPr>
        <w:ind w:firstLine="482"/>
        <w:jc w:val="center"/>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表</w:t>
      </w:r>
      <w:r>
        <w:rPr>
          <w:rFonts w:ascii="宋体" w:hAnsi="宋体" w:eastAsia="宋体" w:cs="宋体"/>
          <w:b/>
          <w:sz w:val="24"/>
          <w:szCs w:val="24"/>
          <w:highlight w:val="none"/>
        </w:rPr>
        <w:t xml:space="preserve">1  </w:t>
      </w:r>
      <w:r>
        <w:rPr>
          <w:rFonts w:hint="eastAsia" w:ascii="宋体" w:hAnsi="宋体" w:eastAsia="宋体" w:cs="宋体"/>
          <w:b/>
          <w:sz w:val="24"/>
          <w:szCs w:val="24"/>
          <w:highlight w:val="none"/>
        </w:rPr>
        <w:t xml:space="preserve">各站点及系统主要托管监测项目</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8"/>
        <w:gridCol w:w="1975"/>
        <w:gridCol w:w="6286"/>
      </w:tblGrid>
      <w:tr>
        <w:trPr>
          <w:jc w:val="center"/>
          <w:trHeight w:val="340"/>
          <w:tblHeader/>
        </w:trPr>
        <w:tc>
          <w:tcPr>
            <w:tcMar>
              <w:left w:w="108" w:type="dxa"/>
              <w:top w:w="0" w:type="dxa"/>
              <w:right w:w="108" w:type="dxa"/>
              <w:bottom w:w="0" w:type="dxa"/>
            </w:tcMar>
            <w:tcW w:w="808" w:type="dxa"/>
            <w:vAlign w:val="center"/>
            <w:textDirection w:val="lrTb"/>
            <w:noWrap w:val="false"/>
          </w:tcPr>
          <w:p>
            <w:pPr>
              <w:jc w:val="center"/>
              <w:rPr>
                <w:rFonts w:eastAsia="宋体" w:cs="宋体"/>
                <w:b/>
                <w:bCs/>
                <w:sz w:val="18"/>
                <w:szCs w:val="21"/>
                <w:highlight w:val="none"/>
              </w:rPr>
            </w:pPr>
            <w:r>
              <w:rPr>
                <w:rFonts w:hint="eastAsia" w:eastAsia="宋体" w:cs="宋体"/>
                <w:b/>
                <w:bCs/>
                <w:sz w:val="18"/>
                <w:szCs w:val="21"/>
                <w:highlight w:val="none"/>
              </w:rPr>
              <w:t xml:space="preserve">序号</w:t>
            </w:r>
            <w:r/>
          </w:p>
        </w:tc>
        <w:tc>
          <w:tcPr>
            <w:tcMar>
              <w:left w:w="108" w:type="dxa"/>
              <w:top w:w="0" w:type="dxa"/>
              <w:right w:w="108" w:type="dxa"/>
              <w:bottom w:w="0" w:type="dxa"/>
            </w:tcMar>
            <w:tcW w:w="1975" w:type="dxa"/>
            <w:vAlign w:val="center"/>
            <w:textDirection w:val="lrTb"/>
            <w:noWrap w:val="false"/>
          </w:tcPr>
          <w:p>
            <w:pPr>
              <w:jc w:val="center"/>
              <w:rPr>
                <w:rFonts w:eastAsia="宋体" w:cs="宋体"/>
                <w:b/>
                <w:bCs/>
                <w:sz w:val="18"/>
                <w:szCs w:val="21"/>
                <w:highlight w:val="none"/>
              </w:rPr>
            </w:pPr>
            <w:r>
              <w:rPr>
                <w:rFonts w:hint="eastAsia" w:eastAsia="宋体" w:cs="宋体"/>
                <w:b/>
                <w:bCs/>
                <w:sz w:val="18"/>
                <w:szCs w:val="21"/>
                <w:highlight w:val="none"/>
              </w:rPr>
              <w:t xml:space="preserve">站点名称</w:t>
            </w:r>
            <w:r/>
          </w:p>
        </w:tc>
        <w:tc>
          <w:tcPr>
            <w:tcMar>
              <w:left w:w="108" w:type="dxa"/>
              <w:top w:w="0" w:type="dxa"/>
              <w:right w:w="108" w:type="dxa"/>
              <w:bottom w:w="0" w:type="dxa"/>
            </w:tcMar>
            <w:tcW w:w="6286" w:type="dxa"/>
            <w:vAlign w:val="center"/>
            <w:textDirection w:val="lrTb"/>
            <w:noWrap w:val="false"/>
          </w:tcPr>
          <w:p>
            <w:pPr>
              <w:jc w:val="center"/>
              <w:rPr>
                <w:rFonts w:eastAsia="宋体" w:cs="宋体"/>
                <w:b/>
                <w:bCs/>
                <w:sz w:val="18"/>
                <w:szCs w:val="21"/>
                <w:highlight w:val="none"/>
              </w:rPr>
            </w:pPr>
            <w:r>
              <w:rPr>
                <w:rFonts w:hint="eastAsia" w:eastAsia="宋体" w:cs="宋体"/>
                <w:b/>
                <w:bCs/>
                <w:sz w:val="18"/>
                <w:szCs w:val="21"/>
                <w:highlight w:val="none"/>
              </w:rPr>
              <w:t xml:space="preserve">监测项目</w:t>
            </w:r>
            <w:r/>
          </w:p>
        </w:tc>
      </w:tr>
      <w:tr>
        <w:trPr>
          <w:jc w:val="center"/>
          <w:trHeight w:val="340"/>
        </w:trPr>
        <w:tc>
          <w:tcPr>
            <w:tcMar>
              <w:left w:w="108" w:type="dxa"/>
              <w:top w:w="0" w:type="dxa"/>
              <w:right w:w="108" w:type="dxa"/>
              <w:bottom w:w="0" w:type="dxa"/>
            </w:tcMar>
            <w:tcW w:w="808" w:type="dxa"/>
            <w:vAlign w:val="center"/>
            <w:textDirection w:val="lrTb"/>
            <w:noWrap w:val="false"/>
          </w:tcPr>
          <w:p>
            <w:pPr>
              <w:jc w:val="center"/>
              <w:rPr>
                <w:rFonts w:eastAsia="宋体" w:cs="宋体"/>
                <w:sz w:val="18"/>
                <w:szCs w:val="21"/>
                <w:highlight w:val="none"/>
              </w:rPr>
            </w:pPr>
            <w:r>
              <w:rPr>
                <w:rFonts w:eastAsia="宋体" w:cs="宋体"/>
                <w:sz w:val="18"/>
                <w:szCs w:val="21"/>
                <w:highlight w:val="none"/>
              </w:rPr>
              <w:t xml:space="preserve">1</w:t>
            </w:r>
            <w:r/>
          </w:p>
        </w:tc>
        <w:tc>
          <w:tcPr>
            <w:tcMar>
              <w:left w:w="108" w:type="dxa"/>
              <w:top w:w="0" w:type="dxa"/>
              <w:right w:w="108" w:type="dxa"/>
              <w:bottom w:w="0" w:type="dxa"/>
            </w:tcMar>
            <w:tcW w:w="1975" w:type="dxa"/>
            <w:vAlign w:val="center"/>
            <w:textDirection w:val="lrTb"/>
            <w:noWrap w:val="false"/>
          </w:tcPr>
          <w:p>
            <w:pPr>
              <w:jc w:val="center"/>
              <w:rPr>
                <w:rFonts w:eastAsia="宋体" w:cs="宋体"/>
                <w:sz w:val="18"/>
                <w:szCs w:val="21"/>
                <w:highlight w:val="none"/>
              </w:rPr>
            </w:pPr>
            <w:r>
              <w:rPr>
                <w:rFonts w:hint="eastAsia" w:eastAsia="宋体" w:cs="宋体"/>
                <w:sz w:val="18"/>
                <w:szCs w:val="21"/>
                <w:highlight w:val="none"/>
              </w:rPr>
              <w:t xml:space="preserve">金墅港</w:t>
            </w:r>
            <w:r/>
          </w:p>
        </w:tc>
        <w:tc>
          <w:tcPr>
            <w:tcMar>
              <w:left w:w="108" w:type="dxa"/>
              <w:top w:w="0" w:type="dxa"/>
              <w:right w:w="108" w:type="dxa"/>
              <w:bottom w:w="0" w:type="dxa"/>
            </w:tcMar>
            <w:tcW w:w="6286" w:type="dxa"/>
            <w:vAlign w:val="center"/>
            <w:textDirection w:val="lrTb"/>
            <w:noWrap w:val="false"/>
          </w:tcPr>
          <w:p>
            <w:pPr>
              <w:ind w:firstLine="360"/>
              <w:jc w:val="center"/>
              <w:rPr>
                <w:rFonts w:eastAsia="宋体" w:cs="宋体"/>
                <w:sz w:val="18"/>
                <w:szCs w:val="21"/>
                <w:highlight w:val="none"/>
              </w:rPr>
            </w:pPr>
            <w:r>
              <w:rPr>
                <w:rFonts w:eastAsia="宋体" w:cs="宋体"/>
                <w:sz w:val="18"/>
                <w:szCs w:val="21"/>
                <w:highlight w:val="none"/>
              </w:rPr>
              <w:t xml:space="preserve">pH值、水温、溶解氧、电导率、浊度、氨氮、COD</w:t>
            </w:r>
            <w:r>
              <w:rPr>
                <w:rFonts w:eastAsia="宋体" w:cs="宋体"/>
                <w:sz w:val="18"/>
                <w:szCs w:val="13"/>
                <w:highlight w:val="none"/>
                <w:vertAlign w:val="subscript"/>
              </w:rPr>
              <w:t xml:space="preserve">Mn</w:t>
            </w:r>
            <w:r>
              <w:rPr>
                <w:rFonts w:hint="eastAsia" w:eastAsia="宋体" w:cs="宋体"/>
                <w:sz w:val="18"/>
                <w:szCs w:val="21"/>
                <w:highlight w:val="none"/>
              </w:rPr>
              <w:t xml:space="preserve">、总磷、总氮、氟化物、叶绿素</w:t>
            </w:r>
            <w:r>
              <w:rPr>
                <w:rFonts w:eastAsia="宋体" w:cs="宋体"/>
                <w:sz w:val="18"/>
                <w:szCs w:val="21"/>
                <w:highlight w:val="none"/>
              </w:rPr>
              <w:t xml:space="preserve">a、藻密度、生物毒性、挥发酚、</w:t>
            </w:r>
            <w:r/>
          </w:p>
          <w:p>
            <w:pPr>
              <w:ind w:firstLine="360"/>
              <w:jc w:val="center"/>
              <w:rPr>
                <w:rFonts w:eastAsia="宋体" w:cs="宋体"/>
                <w:sz w:val="18"/>
                <w:szCs w:val="21"/>
                <w:highlight w:val="none"/>
              </w:rPr>
            </w:pPr>
            <w:r>
              <w:rPr>
                <w:rFonts w:hint="eastAsia" w:eastAsia="宋体" w:cs="宋体"/>
                <w:sz w:val="18"/>
                <w:szCs w:val="21"/>
                <w:highlight w:val="none"/>
              </w:rPr>
              <w:t xml:space="preserve">污染预警溯源、</w:t>
            </w:r>
            <w:r>
              <w:rPr>
                <w:rFonts w:eastAsia="宋体" w:cs="宋体"/>
                <w:sz w:val="18"/>
                <w:szCs w:val="21"/>
                <w:highlight w:val="none"/>
              </w:rPr>
              <w:t xml:space="preserve">VOCs、藻类分析</w:t>
            </w:r>
            <w:r/>
          </w:p>
        </w:tc>
      </w:tr>
      <w:tr>
        <w:trPr>
          <w:jc w:val="center"/>
          <w:trHeight w:val="340"/>
        </w:trPr>
        <w:tc>
          <w:tcPr>
            <w:tcMar>
              <w:left w:w="108" w:type="dxa"/>
              <w:top w:w="0" w:type="dxa"/>
              <w:right w:w="108" w:type="dxa"/>
              <w:bottom w:w="0" w:type="dxa"/>
            </w:tcMar>
            <w:tcW w:w="808" w:type="dxa"/>
            <w:vAlign w:val="center"/>
            <w:textDirection w:val="lrTb"/>
            <w:noWrap w:val="false"/>
          </w:tcPr>
          <w:p>
            <w:pPr>
              <w:jc w:val="center"/>
              <w:rPr>
                <w:rFonts w:eastAsia="宋体" w:cs="宋体"/>
                <w:sz w:val="18"/>
                <w:szCs w:val="21"/>
                <w:highlight w:val="none"/>
              </w:rPr>
            </w:pPr>
            <w:r>
              <w:rPr>
                <w:rFonts w:eastAsia="宋体" w:cs="宋体"/>
                <w:sz w:val="18"/>
                <w:szCs w:val="21"/>
                <w:highlight w:val="none"/>
              </w:rPr>
              <w:t xml:space="preserve">2</w:t>
            </w:r>
            <w:r/>
          </w:p>
        </w:tc>
        <w:tc>
          <w:tcPr>
            <w:tcMar>
              <w:left w:w="108" w:type="dxa"/>
              <w:top w:w="0" w:type="dxa"/>
              <w:right w:w="108" w:type="dxa"/>
              <w:bottom w:w="0" w:type="dxa"/>
            </w:tcMar>
            <w:tcW w:w="1975" w:type="dxa"/>
            <w:vAlign w:val="center"/>
            <w:textDirection w:val="lrTb"/>
            <w:noWrap w:val="false"/>
          </w:tcPr>
          <w:p>
            <w:pPr>
              <w:jc w:val="center"/>
              <w:rPr>
                <w:rFonts w:eastAsia="宋体" w:cs="宋体"/>
                <w:sz w:val="18"/>
                <w:szCs w:val="21"/>
                <w:highlight w:val="none"/>
              </w:rPr>
            </w:pPr>
            <w:r>
              <w:rPr>
                <w:rFonts w:hint="eastAsia" w:eastAsia="宋体" w:cs="宋体"/>
                <w:sz w:val="18"/>
                <w:szCs w:val="21"/>
                <w:highlight w:val="none"/>
              </w:rPr>
              <w:t xml:space="preserve">渔洋山</w:t>
            </w:r>
            <w:r/>
          </w:p>
        </w:tc>
        <w:tc>
          <w:tcPr>
            <w:tcMar>
              <w:left w:w="108" w:type="dxa"/>
              <w:top w:w="0" w:type="dxa"/>
              <w:right w:w="108" w:type="dxa"/>
              <w:bottom w:w="0" w:type="dxa"/>
            </w:tcMar>
            <w:tcW w:w="6286" w:type="dxa"/>
            <w:vAlign w:val="center"/>
            <w:textDirection w:val="lrTb"/>
            <w:noWrap w:val="false"/>
          </w:tcPr>
          <w:p>
            <w:pPr>
              <w:ind w:firstLine="360"/>
              <w:jc w:val="center"/>
              <w:rPr>
                <w:rFonts w:eastAsia="宋体" w:cs="宋体"/>
                <w:sz w:val="18"/>
                <w:szCs w:val="21"/>
                <w:highlight w:val="none"/>
              </w:rPr>
            </w:pPr>
            <w:r>
              <w:rPr>
                <w:rFonts w:eastAsia="宋体" w:cs="宋体"/>
                <w:sz w:val="18"/>
                <w:szCs w:val="21"/>
                <w:highlight w:val="none"/>
              </w:rPr>
              <w:t xml:space="preserve">pH值、水温、溶解氧、电导率、浊度、氨氮、COD</w:t>
            </w:r>
            <w:r>
              <w:rPr>
                <w:rFonts w:eastAsia="宋体" w:cs="宋体"/>
                <w:sz w:val="18"/>
                <w:szCs w:val="13"/>
                <w:highlight w:val="none"/>
                <w:vertAlign w:val="subscript"/>
              </w:rPr>
              <w:t xml:space="preserve">Mn</w:t>
            </w:r>
            <w:r>
              <w:rPr>
                <w:rFonts w:hint="eastAsia" w:eastAsia="宋体" w:cs="宋体"/>
                <w:sz w:val="18"/>
                <w:szCs w:val="21"/>
                <w:highlight w:val="none"/>
              </w:rPr>
              <w:t xml:space="preserve">、</w:t>
            </w:r>
            <w:r/>
          </w:p>
          <w:p>
            <w:pPr>
              <w:ind w:firstLine="360"/>
              <w:jc w:val="center"/>
              <w:rPr>
                <w:rFonts w:eastAsia="宋体" w:cs="宋体"/>
                <w:sz w:val="18"/>
                <w:szCs w:val="21"/>
                <w:highlight w:val="none"/>
              </w:rPr>
            </w:pPr>
            <w:r>
              <w:rPr>
                <w:rFonts w:hint="eastAsia" w:eastAsia="宋体" w:cs="宋体"/>
                <w:sz w:val="18"/>
                <w:szCs w:val="21"/>
                <w:highlight w:val="none"/>
              </w:rPr>
              <w:t xml:space="preserve">总磷、总氮、氟化物、叶绿素</w:t>
            </w:r>
            <w:r>
              <w:rPr>
                <w:rFonts w:eastAsia="宋体" w:cs="宋体"/>
                <w:sz w:val="18"/>
                <w:szCs w:val="21"/>
                <w:highlight w:val="none"/>
              </w:rPr>
              <w:t xml:space="preserve">a、藻密度、生物毒性、</w:t>
            </w:r>
            <w:r/>
          </w:p>
          <w:p>
            <w:pPr>
              <w:ind w:firstLine="360"/>
              <w:jc w:val="center"/>
              <w:rPr>
                <w:rFonts w:eastAsia="宋体" w:cs="宋体"/>
                <w:sz w:val="18"/>
                <w:szCs w:val="21"/>
                <w:highlight w:val="none"/>
              </w:rPr>
            </w:pPr>
            <w:r>
              <w:rPr>
                <w:rFonts w:hint="eastAsia" w:eastAsia="宋体" w:cs="宋体"/>
                <w:sz w:val="18"/>
                <w:szCs w:val="21"/>
                <w:highlight w:val="none"/>
              </w:rPr>
              <w:t xml:space="preserve">污染预警溯源</w:t>
            </w:r>
            <w:r/>
          </w:p>
        </w:tc>
      </w:tr>
      <w:tr>
        <w:trPr>
          <w:jc w:val="center"/>
          <w:trHeight w:val="340"/>
        </w:trPr>
        <w:tc>
          <w:tcPr>
            <w:tcMar>
              <w:left w:w="108" w:type="dxa"/>
              <w:top w:w="0" w:type="dxa"/>
              <w:right w:w="108" w:type="dxa"/>
              <w:bottom w:w="0" w:type="dxa"/>
            </w:tcMar>
            <w:tcW w:w="808" w:type="dxa"/>
            <w:vAlign w:val="center"/>
            <w:textDirection w:val="lrTb"/>
            <w:noWrap w:val="false"/>
          </w:tcPr>
          <w:p>
            <w:pPr>
              <w:jc w:val="center"/>
              <w:rPr>
                <w:rFonts w:eastAsia="宋体" w:cs="宋体"/>
                <w:sz w:val="18"/>
                <w:szCs w:val="21"/>
                <w:highlight w:val="none"/>
              </w:rPr>
            </w:pPr>
            <w:r>
              <w:rPr>
                <w:rFonts w:eastAsia="宋体" w:cs="宋体"/>
                <w:sz w:val="18"/>
                <w:szCs w:val="21"/>
                <w:highlight w:val="none"/>
              </w:rPr>
              <w:t xml:space="preserve">3</w:t>
            </w:r>
            <w:r/>
          </w:p>
        </w:tc>
        <w:tc>
          <w:tcPr>
            <w:tcMar>
              <w:left w:w="108" w:type="dxa"/>
              <w:top w:w="0" w:type="dxa"/>
              <w:right w:w="108" w:type="dxa"/>
              <w:bottom w:w="0" w:type="dxa"/>
            </w:tcMar>
            <w:tcW w:w="1975" w:type="dxa"/>
            <w:vAlign w:val="center"/>
            <w:textDirection w:val="lrTb"/>
            <w:noWrap w:val="false"/>
          </w:tcPr>
          <w:p>
            <w:pPr>
              <w:jc w:val="center"/>
              <w:rPr>
                <w:rFonts w:eastAsia="宋体" w:cs="宋体"/>
                <w:sz w:val="18"/>
                <w:szCs w:val="21"/>
                <w:highlight w:val="none"/>
              </w:rPr>
            </w:pPr>
            <w:r>
              <w:rPr>
                <w:rFonts w:hint="eastAsia" w:eastAsia="宋体" w:cs="宋体"/>
                <w:sz w:val="18"/>
                <w:szCs w:val="21"/>
                <w:highlight w:val="none"/>
              </w:rPr>
              <w:t xml:space="preserve">望亭质控分中心</w:t>
            </w:r>
            <w:r/>
          </w:p>
        </w:tc>
        <w:tc>
          <w:tcPr>
            <w:tcMar>
              <w:left w:w="108" w:type="dxa"/>
              <w:top w:w="0" w:type="dxa"/>
              <w:right w:w="108" w:type="dxa"/>
              <w:bottom w:w="0" w:type="dxa"/>
            </w:tcMar>
            <w:tcW w:w="6286" w:type="dxa"/>
            <w:vAlign w:val="center"/>
            <w:textDirection w:val="lrTb"/>
            <w:noWrap w:val="false"/>
          </w:tcPr>
          <w:p>
            <w:pPr>
              <w:ind w:firstLine="360"/>
              <w:jc w:val="center"/>
              <w:rPr>
                <w:rFonts w:eastAsia="宋体" w:cs="宋体"/>
                <w:sz w:val="18"/>
                <w:szCs w:val="21"/>
                <w:highlight w:val="none"/>
              </w:rPr>
            </w:pPr>
            <w:r>
              <w:rPr>
                <w:rFonts w:hint="eastAsia" w:eastAsia="宋体" w:cs="宋体"/>
                <w:sz w:val="18"/>
                <w:szCs w:val="21"/>
                <w:highlight w:val="none"/>
              </w:rPr>
              <w:t xml:space="preserve">污染预警溯源</w:t>
            </w:r>
            <w:r/>
          </w:p>
        </w:tc>
      </w:tr>
      <w:tr>
        <w:trPr>
          <w:jc w:val="center"/>
          <w:trHeight w:val="340"/>
        </w:trPr>
        <w:tc>
          <w:tcPr>
            <w:tcMar>
              <w:left w:w="108" w:type="dxa"/>
              <w:top w:w="0" w:type="dxa"/>
              <w:right w:w="108" w:type="dxa"/>
              <w:bottom w:w="0" w:type="dxa"/>
            </w:tcMar>
            <w:tcW w:w="808" w:type="dxa"/>
            <w:vAlign w:val="center"/>
            <w:textDirection w:val="lrTb"/>
            <w:noWrap w:val="false"/>
          </w:tcPr>
          <w:p>
            <w:pPr>
              <w:jc w:val="center"/>
              <w:rPr>
                <w:rFonts w:eastAsia="宋体" w:cs="宋体"/>
                <w:sz w:val="18"/>
                <w:szCs w:val="21"/>
                <w:highlight w:val="none"/>
              </w:rPr>
            </w:pPr>
            <w:r>
              <w:rPr>
                <w:rFonts w:eastAsia="宋体" w:cs="宋体"/>
                <w:sz w:val="18"/>
                <w:szCs w:val="21"/>
                <w:highlight w:val="none"/>
              </w:rPr>
              <w:t xml:space="preserve">4</w:t>
            </w:r>
            <w:r/>
          </w:p>
        </w:tc>
        <w:tc>
          <w:tcPr>
            <w:tcMar>
              <w:left w:w="108" w:type="dxa"/>
              <w:top w:w="0" w:type="dxa"/>
              <w:right w:w="108" w:type="dxa"/>
              <w:bottom w:w="0" w:type="dxa"/>
            </w:tcMar>
            <w:tcW w:w="1975" w:type="dxa"/>
            <w:vAlign w:val="center"/>
            <w:textDirection w:val="lrTb"/>
            <w:noWrap w:val="false"/>
          </w:tcPr>
          <w:p>
            <w:pPr>
              <w:jc w:val="center"/>
              <w:rPr>
                <w:rFonts w:eastAsia="宋体" w:cs="宋体"/>
                <w:sz w:val="18"/>
                <w:szCs w:val="21"/>
                <w:highlight w:val="none"/>
              </w:rPr>
            </w:pPr>
            <w:r>
              <w:rPr>
                <w:rFonts w:hint="eastAsia" w:eastAsia="宋体" w:cs="宋体"/>
                <w:sz w:val="18"/>
                <w:szCs w:val="21"/>
                <w:highlight w:val="none"/>
              </w:rPr>
              <w:t xml:space="preserve">太阳能水站</w:t>
            </w:r>
            <w:r/>
          </w:p>
        </w:tc>
        <w:tc>
          <w:tcPr>
            <w:tcMar>
              <w:left w:w="108" w:type="dxa"/>
              <w:top w:w="0" w:type="dxa"/>
              <w:right w:w="108" w:type="dxa"/>
              <w:bottom w:w="0" w:type="dxa"/>
            </w:tcMar>
            <w:tcW w:w="6286" w:type="dxa"/>
            <w:vAlign w:val="center"/>
            <w:textDirection w:val="lrTb"/>
            <w:noWrap w:val="false"/>
          </w:tcPr>
          <w:p>
            <w:pPr>
              <w:ind w:firstLine="360"/>
              <w:jc w:val="center"/>
              <w:rPr>
                <w:rFonts w:eastAsia="宋体" w:cs="宋体"/>
                <w:sz w:val="18"/>
                <w:szCs w:val="21"/>
                <w:highlight w:val="none"/>
              </w:rPr>
            </w:pPr>
            <w:r>
              <w:rPr>
                <w:rFonts w:eastAsia="宋体" w:cs="宋体"/>
                <w:sz w:val="18"/>
                <w:szCs w:val="21"/>
                <w:highlight w:val="none"/>
              </w:rPr>
              <w:t xml:space="preserve">pH值、水温、溶解氧、电导率、浊度、总磷</w:t>
            </w:r>
            <w:r/>
          </w:p>
        </w:tc>
      </w:tr>
    </w:tbl>
    <w:p>
      <w:pPr>
        <w:ind w:firstLine="480"/>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2"/>
        <w:jc w:val="center"/>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表</w:t>
      </w:r>
      <w:r>
        <w:rPr>
          <w:rFonts w:ascii="宋体" w:hAnsi="宋体" w:eastAsia="宋体" w:cs="宋体"/>
          <w:b/>
          <w:sz w:val="24"/>
          <w:szCs w:val="24"/>
          <w:highlight w:val="none"/>
        </w:rPr>
        <w:t xml:space="preserve">2  </w:t>
      </w:r>
      <w:r>
        <w:rPr>
          <w:rFonts w:hint="eastAsia" w:ascii="宋体" w:hAnsi="宋体" w:eastAsia="宋体" w:cs="宋体"/>
          <w:b/>
          <w:sz w:val="24"/>
          <w:szCs w:val="24"/>
          <w:highlight w:val="none"/>
        </w:rPr>
        <w:t xml:space="preserve">系统主要设备配置表</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6"/>
        <w:gridCol w:w="2836"/>
        <w:gridCol w:w="2269"/>
        <w:gridCol w:w="1699"/>
        <w:gridCol w:w="1492"/>
      </w:tblGrid>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序号</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设备名称</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型号</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生产厂家</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数量合计</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五参数分析仪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IQ 2020</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德国</w:t>
            </w:r>
            <w:r>
              <w:rPr>
                <w:rFonts w:ascii="宋体" w:hAnsi="宋体" w:eastAsia="宋体" w:cs="宋体"/>
                <w:sz w:val="18"/>
                <w:szCs w:val="21"/>
                <w:highlight w:val="none"/>
              </w:rPr>
              <w:t xml:space="preserve">WTW</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r>
      <w:tr>
        <w:trPr>
          <w:jc w:val="center"/>
          <w:trHeight w:val="159"/>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五参数分析仪</w:t>
            </w:r>
            <w:r/>
          </w:p>
        </w:tc>
        <w:tc>
          <w:tcPr>
            <w:tcMar>
              <w:left w:w="108" w:type="dxa"/>
              <w:top w:w="0" w:type="dxa"/>
              <w:right w:w="108" w:type="dxa"/>
              <w:bottom w:w="0" w:type="dxa"/>
            </w:tcMar>
            <w:tcW w:w="2269" w:type="dxa"/>
            <w:vAlign w:val="center"/>
            <w:textDirection w:val="lrTb"/>
            <w:noWrap w:val="false"/>
          </w:tcPr>
          <w:p>
            <w:pPr>
              <w:jc w:val="center"/>
              <w:widowControl/>
              <w:rPr>
                <w:rFonts w:ascii="宋体" w:hAnsi="宋体" w:eastAsia="宋体" w:cs="宋体"/>
                <w:sz w:val="18"/>
                <w:szCs w:val="21"/>
                <w:highlight w:val="none"/>
              </w:rPr>
            </w:pPr>
            <w:r>
              <w:rPr>
                <w:rFonts w:ascii="宋体" w:hAnsi="宋体" w:eastAsia="宋体" w:cs="宋体"/>
                <w:sz w:val="18"/>
                <w:szCs w:val="21"/>
                <w:highlight w:val="none"/>
                <w:lang w:bidi="ar"/>
              </w:rPr>
              <w:t xml:space="preserve">WQMS2000-MS5</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3</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氨氮分析仪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WQMS2000-NHN</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r>
      <w:tr>
        <w:trPr>
          <w:jc w:val="center"/>
          <w:trHeight w:val="329"/>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4</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COD</w:t>
            </w:r>
            <w:r>
              <w:rPr>
                <w:rFonts w:ascii="宋体" w:hAnsi="宋体" w:eastAsia="宋体" w:cs="宋体"/>
                <w:sz w:val="18"/>
                <w:szCs w:val="13"/>
                <w:highlight w:val="none"/>
                <w:vertAlign w:val="subscript"/>
              </w:rPr>
              <w:t xml:space="preserve">Mn</w:t>
            </w:r>
            <w:r>
              <w:rPr>
                <w:rFonts w:hint="eastAsia" w:ascii="宋体" w:hAnsi="宋体" w:eastAsia="宋体" w:cs="宋体"/>
                <w:sz w:val="18"/>
                <w:szCs w:val="21"/>
                <w:highlight w:val="none"/>
              </w:rPr>
              <w:t xml:space="preserve">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WQMS2000-COD</w:t>
            </w:r>
            <w:r>
              <w:rPr>
                <w:rFonts w:ascii="宋体" w:hAnsi="宋体" w:eastAsia="宋体" w:cs="宋体"/>
                <w:sz w:val="18"/>
                <w:szCs w:val="13"/>
                <w:highlight w:val="none"/>
              </w:rPr>
              <w:t xml:space="preserve">Mn</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r>
      <w:tr>
        <w:trPr>
          <w:jc w:val="center"/>
          <w:trHeight w:val="329"/>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5</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总磷分析仪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WQMS2000-TP</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3</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6</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总氮分析仪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WQMS2000-TN</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7</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氟化物分析仪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CA610</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美国</w:t>
            </w:r>
            <w:r>
              <w:rPr>
                <w:rFonts w:ascii="宋体" w:hAnsi="宋体" w:eastAsia="宋体" w:cs="宋体"/>
                <w:sz w:val="18"/>
                <w:szCs w:val="21"/>
                <w:highlight w:val="none"/>
              </w:rPr>
              <w:t xml:space="preserve">HACH</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8</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氟化物分析仪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WQMS2000-F</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9</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叶绿素</w:t>
            </w:r>
            <w:r>
              <w:rPr>
                <w:rFonts w:ascii="宋体" w:hAnsi="宋体" w:eastAsia="宋体" w:cs="宋体"/>
                <w:sz w:val="18"/>
                <w:szCs w:val="21"/>
                <w:highlight w:val="none"/>
              </w:rPr>
              <w:t xml:space="preserve">a、藻密度分析仪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EXO2</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美国</w:t>
            </w:r>
            <w:r>
              <w:rPr>
                <w:rFonts w:ascii="宋体" w:hAnsi="宋体" w:eastAsia="宋体" w:cs="宋体"/>
                <w:sz w:val="18"/>
                <w:szCs w:val="21"/>
                <w:highlight w:val="none"/>
              </w:rPr>
              <w:t xml:space="preserve">YSI</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10</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在线生物毒性仪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WQMS2000-TOX</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2</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11</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在线污染预警溯源仪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BGS1020</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国溯</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3</w:t>
            </w:r>
            <w:r/>
          </w:p>
        </w:tc>
      </w:tr>
      <w:tr>
        <w:trPr>
          <w:jc w:val="center"/>
          <w:trHeight w:val="439"/>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12</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在线</w:t>
            </w:r>
            <w:r>
              <w:rPr>
                <w:rFonts w:ascii="宋体" w:hAnsi="宋体" w:eastAsia="宋体" w:cs="宋体"/>
                <w:sz w:val="18"/>
                <w:szCs w:val="21"/>
                <w:highlight w:val="none"/>
              </w:rPr>
              <w:t xml:space="preserve">VOCs监测仪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NFICON CMS5000</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英富康</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r>
      <w:tr>
        <w:trPr>
          <w:jc w:val="center"/>
          <w:trHeight w:val="31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13</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藻类在线分析仪</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AOA型</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德国</w:t>
            </w:r>
            <w:r>
              <w:rPr>
                <w:rFonts w:ascii="宋体" w:hAnsi="宋体" w:eastAsia="宋体" w:cs="宋体"/>
                <w:sz w:val="18"/>
                <w:szCs w:val="21"/>
                <w:highlight w:val="none"/>
              </w:rPr>
              <w:t xml:space="preserve">BBE</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r>
      <w:tr>
        <w:trPr>
          <w:jc w:val="center"/>
          <w:trHeight w:val="283"/>
        </w:trPr>
        <w:tc>
          <w:tcPr>
            <w:tcMar>
              <w:left w:w="108" w:type="dxa"/>
              <w:top w:w="0" w:type="dxa"/>
              <w:right w:w="108" w:type="dxa"/>
              <w:bottom w:w="0" w:type="dxa"/>
            </w:tcMar>
            <w:tcW w:w="816"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14</w:t>
            </w:r>
            <w:r/>
          </w:p>
        </w:tc>
        <w:tc>
          <w:tcPr>
            <w:tcMar>
              <w:left w:w="108" w:type="dxa"/>
              <w:top w:w="0" w:type="dxa"/>
              <w:right w:w="108" w:type="dxa"/>
              <w:bottom w:w="0" w:type="dxa"/>
            </w:tcMar>
            <w:tcW w:w="2836"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挥发酚</w:t>
            </w:r>
            <w:r/>
          </w:p>
        </w:tc>
        <w:tc>
          <w:tcPr>
            <w:tcMar>
              <w:left w:w="108" w:type="dxa"/>
              <w:top w:w="0" w:type="dxa"/>
              <w:right w:w="108" w:type="dxa"/>
              <w:bottom w:w="0" w:type="dxa"/>
            </w:tcMar>
            <w:tcW w:w="2269"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WQMS2000-VPC</w:t>
            </w:r>
            <w:r/>
          </w:p>
        </w:tc>
        <w:tc>
          <w:tcPr>
            <w:tcMar>
              <w:left w:w="108" w:type="dxa"/>
              <w:top w:w="0" w:type="dxa"/>
              <w:right w:w="108" w:type="dxa"/>
              <w:bottom w:w="0" w:type="dxa"/>
            </w:tcMar>
            <w:tcW w:w="1699" w:type="dxa"/>
            <w:vAlign w:val="center"/>
            <w:textDirection w:val="lrTb"/>
            <w:noWrap w:val="false"/>
          </w:tcPr>
          <w:p>
            <w:pPr>
              <w:jc w:val="center"/>
              <w:rPr>
                <w:rFonts w:ascii="宋体" w:hAnsi="宋体" w:eastAsia="宋体" w:cs="宋体"/>
                <w:sz w:val="18"/>
                <w:szCs w:val="21"/>
                <w:highlight w:val="none"/>
              </w:rPr>
            </w:pPr>
            <w:r>
              <w:rPr>
                <w:rFonts w:hint="eastAsia" w:ascii="宋体" w:hAnsi="宋体" w:eastAsia="宋体" w:cs="宋体"/>
                <w:sz w:val="18"/>
                <w:szCs w:val="21"/>
                <w:highlight w:val="none"/>
              </w:rPr>
              <w:t xml:space="preserve">理工能科</w:t>
            </w:r>
            <w:r/>
          </w:p>
        </w:tc>
        <w:tc>
          <w:tcPr>
            <w:tcMar>
              <w:left w:w="108" w:type="dxa"/>
              <w:top w:w="0" w:type="dxa"/>
              <w:right w:w="108" w:type="dxa"/>
              <w:bottom w:w="0" w:type="dxa"/>
            </w:tcMar>
            <w:tcW w:w="1492"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1.2全面贯彻质量方针、建立符合国家标准的质量管理体系，提供及时、准确、有效的检测数据，不断提高水站的运行质量</w:t>
      </w:r>
      <w:r>
        <w:rPr>
          <w:rFonts w:hint="eastAsia" w:ascii="宋体" w:hAnsi="宋体" w:eastAsia="宋体" w:cs="宋体"/>
          <w:sz w:val="24"/>
          <w:szCs w:val="24"/>
          <w:highlight w:val="none"/>
          <w:lang w:eastAsia="zh-CN"/>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1.3根据服务内容，供应商在报价中应包含表3所列各部分工作的费用：</w:t>
      </w:r>
      <w:r/>
    </w:p>
    <w:p>
      <w:pPr>
        <w:ind w:firstLine="482"/>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表</w:t>
      </w:r>
      <w:r>
        <w:rPr>
          <w:rFonts w:ascii="宋体" w:hAnsi="宋体" w:eastAsia="宋体" w:cs="宋体"/>
          <w:b/>
          <w:sz w:val="24"/>
          <w:szCs w:val="24"/>
          <w:highlight w:val="none"/>
        </w:rPr>
        <w:t xml:space="preserve">3  </w:t>
      </w:r>
      <w:r>
        <w:rPr>
          <w:rFonts w:hint="eastAsia" w:ascii="宋体" w:hAnsi="宋体" w:eastAsia="宋体" w:cs="宋体"/>
          <w:b/>
          <w:sz w:val="24"/>
          <w:szCs w:val="24"/>
          <w:highlight w:val="none"/>
        </w:rPr>
        <w:t xml:space="preserve">报价应含的各部分工作费用</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41"/>
        <w:gridCol w:w="3363"/>
        <w:gridCol w:w="4892"/>
      </w:tblGrid>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 w:type="dxa"/>
            <w:vAlign w:val="center"/>
            <w:textDirection w:val="lrTb"/>
            <w:noWrap w:val="false"/>
          </w:tcPr>
          <w:p>
            <w:pP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3" w:type="dxa"/>
            <w:vAlign w:val="center"/>
            <w:textDirection w:val="lrTb"/>
            <w:noWrap w:val="false"/>
          </w:tcPr>
          <w:p>
            <w:pPr>
              <w:ind w:firstLine="361"/>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服务项目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92" w:type="dxa"/>
            <w:vAlign w:val="center"/>
            <w:textDirection w:val="lrTb"/>
            <w:noWrap w:val="false"/>
          </w:tcPr>
          <w:p>
            <w:pPr>
              <w:ind w:firstLine="361"/>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备品备件、易耗品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采购单位设备、配件、消耗品</w:t>
            </w:r>
            <w:r/>
          </w:p>
        </w:tc>
      </w:tr>
      <w:tr>
        <w:trPr>
          <w:jc w:val="center"/>
          <w:trHeight w:val="340"/>
        </w:trPr>
        <w:tc>
          <w:tcPr>
            <w:tcBorders>
              <w:top w:val="single" w:color="auto" w:sz="4" w:space="0"/>
            </w:tcBorders>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2</w:t>
            </w:r>
            <w:r/>
          </w:p>
        </w:tc>
        <w:tc>
          <w:tcPr>
            <w:tcBorders>
              <w:top w:val="single" w:color="auto" w:sz="4" w:space="0"/>
            </w:tcBorders>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社会化运行维护费</w:t>
            </w:r>
            <w:r/>
          </w:p>
        </w:tc>
        <w:tc>
          <w:tcPr>
            <w:tcBorders>
              <w:top w:val="single" w:color="auto" w:sz="4" w:space="0"/>
            </w:tcBorders>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含维护过程产生的人工费、差旅费、交通费、垃圾处理清洁看护费、废液处置费等</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3</w:t>
            </w:r>
            <w:r/>
          </w:p>
        </w:tc>
        <w:tc>
          <w:tcPr>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设备维修费</w:t>
            </w:r>
            <w:r/>
          </w:p>
        </w:tc>
        <w:tc>
          <w:tcPr>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根据维护经验，计算监测系统、包括空调、纯水系统等辅助设施日常维修费用</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4</w:t>
            </w:r>
            <w:r/>
          </w:p>
        </w:tc>
        <w:tc>
          <w:tcPr>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标准物质等测试质量控制费</w:t>
            </w:r>
            <w:r/>
          </w:p>
        </w:tc>
        <w:tc>
          <w:tcPr>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质量控制工作产生的费用</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5</w:t>
            </w:r>
            <w:r/>
          </w:p>
        </w:tc>
        <w:tc>
          <w:tcPr>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年度维修等</w:t>
            </w:r>
            <w:r/>
          </w:p>
        </w:tc>
        <w:tc>
          <w:tcPr>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响应单位认为需增加服务内容，包括系统大修，软件升级</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6</w:t>
            </w:r>
            <w:r/>
          </w:p>
        </w:tc>
        <w:tc>
          <w:tcPr>
            <w:tcMar>
              <w:left w:w="108" w:type="dxa"/>
              <w:top w:w="0" w:type="dxa"/>
              <w:right w:w="108" w:type="dxa"/>
              <w:bottom w:w="0" w:type="dxa"/>
            </w:tcMar>
            <w:tcW w:w="3363"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水源地水站智能化升级改造</w:t>
            </w:r>
            <w:r/>
          </w:p>
        </w:tc>
        <w:tc>
          <w:tcPr>
            <w:tcMar>
              <w:left w:w="108" w:type="dxa"/>
              <w:top w:w="0" w:type="dxa"/>
              <w:right w:w="108" w:type="dxa"/>
              <w:bottom w:w="0" w:type="dxa"/>
            </w:tcMar>
            <w:tcW w:w="4892"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响应单位认为需增加服务内容，包括</w:t>
            </w:r>
            <w:r>
              <w:rPr>
                <w:rFonts w:hint="eastAsia" w:ascii="宋体" w:hAnsi="宋体" w:eastAsia="宋体" w:cs="宋体"/>
                <w:sz w:val="18"/>
                <w:szCs w:val="18"/>
                <w:highlight w:val="none"/>
                <w:lang w:val="en-US" w:eastAsia="zh-CN"/>
              </w:rPr>
              <w:t xml:space="preserve">设备改造</w:t>
            </w:r>
            <w:r>
              <w:rPr>
                <w:rFonts w:hint="eastAsia" w:ascii="宋体" w:hAnsi="宋体" w:eastAsia="宋体" w:cs="宋体"/>
                <w:sz w:val="18"/>
                <w:szCs w:val="18"/>
                <w:highlight w:val="none"/>
              </w:rPr>
              <w:t xml:space="preserve">，</w:t>
            </w:r>
            <w:r>
              <w:rPr>
                <w:rFonts w:hint="eastAsia" w:ascii="宋体" w:hAnsi="宋体" w:eastAsia="宋体" w:cs="宋体"/>
                <w:sz w:val="18"/>
                <w:szCs w:val="18"/>
                <w:highlight w:val="none"/>
                <w:lang w:val="en-US" w:eastAsia="zh-CN"/>
              </w:rPr>
              <w:t xml:space="preserve">平台</w:t>
            </w:r>
            <w:r>
              <w:rPr>
                <w:rFonts w:hint="eastAsia" w:ascii="宋体" w:hAnsi="宋体" w:eastAsia="宋体" w:cs="宋体"/>
                <w:sz w:val="18"/>
                <w:szCs w:val="18"/>
                <w:highlight w:val="none"/>
              </w:rPr>
              <w:t xml:space="preserve">升级</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7</w:t>
            </w:r>
            <w:r/>
          </w:p>
        </w:tc>
        <w:tc>
          <w:tcPr>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全球眼日常运维</w:t>
            </w:r>
            <w:r/>
          </w:p>
        </w:tc>
        <w:tc>
          <w:tcPr>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日常运维确保正常使用</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8</w:t>
            </w:r>
            <w:r/>
          </w:p>
        </w:tc>
        <w:tc>
          <w:tcPr>
            <w:tcMar>
              <w:left w:w="108" w:type="dxa"/>
              <w:top w:w="0" w:type="dxa"/>
              <w:right w:w="108" w:type="dxa"/>
              <w:bottom w:w="0" w:type="dxa"/>
            </w:tcMar>
            <w:tcW w:w="336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文化建设</w:t>
            </w:r>
            <w:r/>
          </w:p>
        </w:tc>
        <w:tc>
          <w:tcPr>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运维周期内保障水站文化建设设施完好，并配合采购单位开展科普宣传活动</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9</w:t>
            </w:r>
            <w:r/>
          </w:p>
        </w:tc>
        <w:tc>
          <w:tcPr>
            <w:tcMar>
              <w:left w:w="108" w:type="dxa"/>
              <w:top w:w="0" w:type="dxa"/>
              <w:right w:w="108" w:type="dxa"/>
              <w:bottom w:w="0" w:type="dxa"/>
            </w:tcMar>
            <w:tcW w:w="3363" w:type="dxa"/>
            <w:vAlign w:val="center"/>
            <w:textDirection w:val="lrTb"/>
            <w:noWrap w:val="false"/>
          </w:tcPr>
          <w:p>
            <w:pPr>
              <w:jc w:val="center"/>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溯源支撑</w:t>
            </w:r>
            <w:r/>
          </w:p>
        </w:tc>
        <w:tc>
          <w:tcPr>
            <w:tcMar>
              <w:left w:w="108" w:type="dxa"/>
              <w:top w:w="0" w:type="dxa"/>
              <w:right w:w="108" w:type="dxa"/>
              <w:bottom w:w="0" w:type="dxa"/>
            </w:tcMar>
            <w:tcW w:w="48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对水源地、国、省考断面溯源及报告编制提供技术支撑</w:t>
            </w:r>
            <w:r/>
          </w:p>
        </w:tc>
      </w:tr>
      <w:tr>
        <w:trPr>
          <w:jc w:val="center"/>
          <w:trHeight w:val="340"/>
        </w:trPr>
        <w:tc>
          <w:tcPr>
            <w:tcMar>
              <w:left w:w="108" w:type="dxa"/>
              <w:top w:w="0" w:type="dxa"/>
              <w:right w:w="108" w:type="dxa"/>
              <w:bottom w:w="0" w:type="dxa"/>
            </w:tcMar>
            <w:tcW w:w="741" w:type="dxa"/>
            <w:vAlign w:val="center"/>
            <w:textDirection w:val="lrTb"/>
            <w:noWrap w:val="false"/>
          </w:tcPr>
          <w:p>
            <w:pPr>
              <w:jc w:val="center"/>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tcMar>
              <w:left w:w="108" w:type="dxa"/>
              <w:top w:w="0" w:type="dxa"/>
              <w:right w:w="108" w:type="dxa"/>
              <w:bottom w:w="0" w:type="dxa"/>
            </w:tcMar>
            <w:tcW w:w="3363" w:type="dxa"/>
            <w:vAlign w:val="center"/>
            <w:textDirection w:val="lrTb"/>
            <w:noWrap w:val="false"/>
          </w:tcPr>
          <w:p>
            <w:pPr>
              <w:jc w:val="center"/>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断面预警</w:t>
            </w:r>
            <w:r/>
          </w:p>
        </w:tc>
        <w:tc>
          <w:tcPr>
            <w:tcMar>
              <w:left w:w="108" w:type="dxa"/>
              <w:top w:w="0" w:type="dxa"/>
              <w:right w:w="108" w:type="dxa"/>
              <w:bottom w:w="0" w:type="dxa"/>
            </w:tcMar>
            <w:tcW w:w="4892" w:type="dxa"/>
            <w:vAlign w:val="center"/>
            <w:textDirection w:val="lrTb"/>
            <w:noWrap w:val="false"/>
          </w:tcPr>
          <w:p>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每日对水源地、国、省考断面异常数据进行预警提醒</w:t>
            </w:r>
            <w:r/>
          </w:p>
        </w:tc>
      </w:tr>
    </w:tbl>
    <w:p>
      <w:pPr>
        <w:pStyle w:val="956"/>
        <w:ind w:firstLine="48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956"/>
        <w:ind w:firstLine="480"/>
        <w:jc w:val="left"/>
        <w:spacing w:line="360" w:lineRule="auto"/>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2、机构、人员、车辆、设备配备要求：</w:t>
      </w:r>
      <w:r/>
    </w:p>
    <w:p>
      <w:pPr>
        <w:ind w:firstLine="480"/>
        <w:jc w:val="left"/>
        <w:spacing w:line="360" w:lineRule="auto"/>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2.1供应商资金保证充足。</w:t>
      </w:r>
      <w:r/>
    </w:p>
    <w:p>
      <w:pPr>
        <w:ind w:firstLine="480"/>
        <w:jc w:val="left"/>
        <w:spacing w:line="360" w:lineRule="auto"/>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2.2供应商应具备完善的仪表配件供应渠道。</w:t>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2.3供应商应具备本地化服务能力，应在本市设立至少1个技术服务网点。</w:t>
      </w:r>
      <w:r>
        <w:rPr>
          <w:rFonts w:hint="eastAsia" w:ascii="宋体" w:hAnsi="宋体" w:eastAsia="宋体" w:cs="宋体"/>
          <w:b/>
          <w:bCs/>
          <w:sz w:val="24"/>
          <w:szCs w:val="24"/>
          <w:highlight w:val="none"/>
          <w:lang w:val="en-US" w:eastAsia="zh-CN"/>
        </w:rPr>
        <w:t xml:space="preserve">响应文件中</w:t>
      </w:r>
      <w:r>
        <w:rPr>
          <w:rFonts w:hint="eastAsia" w:ascii="宋体" w:hAnsi="宋体" w:eastAsia="宋体" w:cs="宋体"/>
          <w:b/>
          <w:bCs/>
          <w:sz w:val="24"/>
          <w:szCs w:val="24"/>
          <w:highlight w:val="none"/>
        </w:rPr>
        <w:t xml:space="preserve">须提供办事处购房或房屋租赁合同等</w:t>
      </w:r>
      <w:r>
        <w:rPr>
          <w:rFonts w:hint="eastAsia" w:ascii="宋体" w:hAnsi="宋体" w:eastAsia="宋体" w:cs="宋体"/>
          <w:b/>
          <w:bCs/>
          <w:sz w:val="24"/>
          <w:szCs w:val="24"/>
          <w:highlight w:val="none"/>
          <w:lang w:val="en-US" w:eastAsia="zh-CN"/>
        </w:rPr>
        <w:t xml:space="preserve">相关</w:t>
      </w:r>
      <w:r>
        <w:rPr>
          <w:rFonts w:hint="eastAsia" w:ascii="宋体" w:hAnsi="宋体" w:eastAsia="宋体" w:cs="宋体"/>
          <w:b/>
          <w:bCs/>
          <w:sz w:val="24"/>
          <w:szCs w:val="24"/>
          <w:highlight w:val="none"/>
        </w:rPr>
        <w:t xml:space="preserve">证明材料</w:t>
      </w:r>
      <w:r>
        <w:rPr>
          <w:rFonts w:hint="eastAsia" w:ascii="宋体" w:hAnsi="宋体" w:eastAsia="宋体" w:cs="宋体"/>
          <w:b/>
          <w:bCs/>
          <w:sz w:val="24"/>
          <w:szCs w:val="24"/>
          <w:highlight w:val="none"/>
          <w:lang w:val="en-US" w:eastAsia="zh-CN"/>
        </w:rPr>
        <w:t xml:space="preserve">或承诺成交后</w:t>
      </w:r>
      <w:r>
        <w:rPr>
          <w:rFonts w:hint="eastAsia" w:ascii="宋体" w:hAnsi="宋体" w:eastAsia="宋体" w:cs="宋体"/>
          <w:b/>
          <w:bCs/>
          <w:sz w:val="24"/>
          <w:szCs w:val="24"/>
          <w:highlight w:val="none"/>
        </w:rPr>
        <w:t xml:space="preserve">在本市设立至少1个技术服务网点</w:t>
      </w:r>
      <w:r>
        <w:rPr>
          <w:rFonts w:hint="eastAsia" w:ascii="宋体" w:hAnsi="宋体" w:eastAsia="宋体" w:cs="宋体"/>
          <w:b/>
          <w:bCs/>
          <w:sz w:val="24"/>
          <w:szCs w:val="24"/>
          <w:highlight w:val="none"/>
          <w:lang w:val="en-US" w:eastAsia="zh-CN"/>
        </w:rPr>
        <w:t xml:space="preserve">的相关承诺函</w:t>
      </w:r>
      <w:r>
        <w:rPr>
          <w:rFonts w:hint="eastAsia" w:ascii="宋体" w:hAnsi="宋体" w:eastAsia="宋体" w:cs="宋体"/>
          <w:b/>
          <w:bCs/>
          <w:sz w:val="24"/>
          <w:szCs w:val="24"/>
          <w:highlight w:val="none"/>
        </w:rPr>
        <w:t xml:space="preserve">，否则视为不</w:t>
      </w:r>
      <w:r>
        <w:rPr>
          <w:rFonts w:hint="eastAsia" w:ascii="宋体" w:hAnsi="宋体" w:eastAsia="宋体" w:cs="宋体"/>
          <w:b/>
          <w:bCs/>
          <w:sz w:val="24"/>
          <w:szCs w:val="24"/>
          <w:highlight w:val="none"/>
          <w:lang w:val="en-US" w:eastAsia="zh-CN"/>
        </w:rPr>
        <w:t xml:space="preserve">实质性</w:t>
      </w:r>
      <w:r>
        <w:rPr>
          <w:rFonts w:hint="eastAsia" w:ascii="宋体" w:hAnsi="宋体" w:eastAsia="宋体" w:cs="宋体"/>
          <w:b/>
          <w:bCs/>
          <w:sz w:val="24"/>
          <w:szCs w:val="24"/>
          <w:highlight w:val="none"/>
        </w:rPr>
        <w:t xml:space="preserve">响应采购文件。</w:t>
      </w:r>
      <w:r/>
    </w:p>
    <w:p>
      <w:pPr>
        <w:ind w:firstLine="482"/>
        <w:jc w:val="left"/>
        <w:spacing w:line="360" w:lineRule="auto"/>
        <w:rPr>
          <w:rFonts w:ascii="宋体" w:hAnsi="宋体" w:eastAsia="宋体" w:cs="宋体"/>
          <w:b/>
          <w:bCs/>
          <w:strike/>
          <w:sz w:val="24"/>
          <w:szCs w:val="24"/>
          <w:highlight w:val="none"/>
        </w:rPr>
      </w:pPr>
      <w:r>
        <w:rPr>
          <w:rFonts w:hint="eastAsia" w:ascii="宋体" w:hAnsi="宋体" w:eastAsia="宋体" w:cs="宋体"/>
          <w:b/>
          <w:bCs/>
          <w:sz w:val="24"/>
          <w:szCs w:val="24"/>
          <w:highlight w:val="none"/>
        </w:rPr>
        <w:t xml:space="preserve">2.4应配备经验丰富的项目负责人</w:t>
      </w:r>
      <w:r>
        <w:rPr>
          <w:rFonts w:hint="eastAsia" w:ascii="宋体" w:hAnsi="宋体" w:eastAsia="宋体" w:cs="宋体"/>
          <w:b/>
          <w:bCs/>
          <w:sz w:val="24"/>
          <w:szCs w:val="24"/>
          <w:highlight w:val="none"/>
          <w:lang w:val="en-US" w:eastAsia="zh-CN"/>
        </w:rPr>
        <w:t xml:space="preserve">1名</w:t>
      </w:r>
      <w:r>
        <w:rPr>
          <w:rFonts w:hint="eastAsia" w:ascii="宋体" w:hAnsi="宋体" w:eastAsia="宋体" w:cs="宋体"/>
          <w:b/>
          <w:bCs/>
          <w:sz w:val="24"/>
          <w:szCs w:val="24"/>
          <w:highlight w:val="none"/>
        </w:rPr>
        <w:t xml:space="preserve">及运维人员</w:t>
      </w:r>
      <w:r>
        <w:rPr>
          <w:rFonts w:hint="eastAsia" w:ascii="宋体" w:hAnsi="宋体" w:eastAsia="宋体" w:cs="宋体"/>
          <w:b/>
          <w:bCs/>
          <w:sz w:val="24"/>
          <w:szCs w:val="24"/>
          <w:highlight w:val="none"/>
          <w:lang w:val="en-US" w:eastAsia="zh-CN"/>
        </w:rPr>
        <w:t xml:space="preserve">3名</w:t>
      </w:r>
      <w:r>
        <w:rPr>
          <w:rFonts w:hint="eastAsia" w:ascii="宋体" w:hAnsi="宋体" w:eastAsia="宋体" w:cs="宋体"/>
          <w:b/>
          <w:bCs/>
          <w:sz w:val="24"/>
          <w:szCs w:val="24"/>
          <w:highlight w:val="none"/>
        </w:rPr>
        <w:t xml:space="preserve">，具备中国环境监测总站颁发的全国环境监测人员培训合格证书或省级</w:t>
      </w:r>
      <w:r>
        <w:rPr>
          <w:rFonts w:ascii="宋体" w:hAnsi="宋体" w:eastAsia="宋体" w:cs="宋体"/>
          <w:b/>
          <w:bCs/>
          <w:sz w:val="24"/>
          <w:szCs w:val="24"/>
          <w:highlight w:val="none"/>
        </w:rPr>
        <w:t xml:space="preserve">及以上水站运维上岗证书，具备</w:t>
      </w: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年及以上水站</w:t>
      </w:r>
      <w:r>
        <w:rPr>
          <w:rFonts w:hint="eastAsia" w:ascii="宋体" w:hAnsi="宋体" w:eastAsia="宋体" w:cs="宋体"/>
          <w:b/>
          <w:bCs/>
          <w:sz w:val="24"/>
          <w:szCs w:val="24"/>
          <w:highlight w:val="none"/>
        </w:rPr>
        <w:t xml:space="preserve">运行维护</w:t>
      </w:r>
      <w:r>
        <w:rPr>
          <w:rFonts w:ascii="宋体" w:hAnsi="宋体" w:eastAsia="宋体" w:cs="宋体"/>
          <w:b/>
          <w:bCs/>
          <w:sz w:val="24"/>
          <w:szCs w:val="24"/>
          <w:highlight w:val="none"/>
        </w:rPr>
        <w:t xml:space="preserve">经验。</w:t>
      </w:r>
      <w:r>
        <w:rPr>
          <w:rFonts w:hint="eastAsia" w:ascii="宋体" w:hAnsi="宋体" w:eastAsia="宋体" w:cs="宋体"/>
          <w:b/>
          <w:bCs/>
          <w:sz w:val="24"/>
          <w:szCs w:val="24"/>
          <w:highlight w:val="none"/>
          <w:lang w:val="en-US" w:eastAsia="zh-CN"/>
        </w:rPr>
        <w:t xml:space="preserve">响应文件中</w:t>
      </w:r>
      <w:r>
        <w:rPr>
          <w:rFonts w:hint="eastAsia" w:ascii="宋体" w:hAnsi="宋体" w:eastAsia="宋体" w:cs="宋体"/>
          <w:b/>
          <w:bCs/>
          <w:sz w:val="24"/>
          <w:szCs w:val="24"/>
          <w:highlight w:val="none"/>
        </w:rPr>
        <w:t xml:space="preserve">须提供项目负责人及运维人员</w:t>
      </w:r>
      <w:r>
        <w:rPr>
          <w:rFonts w:hint="eastAsia" w:ascii="宋体" w:hAnsi="宋体" w:eastAsia="宋体" w:cs="宋体"/>
          <w:b/>
          <w:bCs/>
          <w:sz w:val="24"/>
          <w:szCs w:val="24"/>
          <w:highlight w:val="none"/>
          <w:lang w:eastAsia="zh-CN"/>
        </w:rPr>
        <w:t xml:space="preserve">的</w:t>
      </w:r>
      <w:r>
        <w:rPr>
          <w:rFonts w:ascii="宋体" w:hAnsi="宋体" w:eastAsia="宋体" w:cs="宋体"/>
          <w:b/>
          <w:bCs/>
          <w:sz w:val="24"/>
          <w:szCs w:val="24"/>
          <w:highlight w:val="none"/>
        </w:rPr>
        <w:t xml:space="preserve">聘用合同及</w:t>
      </w:r>
      <w:r>
        <w:rPr>
          <w:rFonts w:hint="eastAsia" w:ascii="宋体" w:hAnsi="宋体" w:eastAsia="宋体" w:cs="宋体"/>
          <w:b/>
          <w:bCs/>
          <w:sz w:val="24"/>
          <w:szCs w:val="24"/>
          <w:highlight w:val="none"/>
          <w:lang w:val="en-US" w:eastAsia="zh-CN"/>
        </w:rPr>
        <w:t xml:space="preserve">响应单位为其缴纳的</w:t>
      </w:r>
      <w:r>
        <w:rPr>
          <w:rFonts w:ascii="宋体" w:hAnsi="宋体" w:eastAsia="宋体" w:cs="宋体"/>
          <w:b/>
          <w:bCs/>
          <w:sz w:val="24"/>
          <w:szCs w:val="24"/>
          <w:highlight w:val="none"/>
        </w:rPr>
        <w:t xml:space="preserve">近</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个月职工社会保险证明、培训合格证明或上岗证书</w:t>
      </w:r>
      <w:r>
        <w:rPr>
          <w:rFonts w:hint="eastAsia" w:ascii="宋体" w:hAnsi="宋体" w:eastAsia="宋体" w:cs="宋体"/>
          <w:b/>
          <w:bCs/>
          <w:sz w:val="24"/>
          <w:szCs w:val="24"/>
          <w:highlight w:val="none"/>
          <w:lang w:val="en-US" w:eastAsia="zh-CN"/>
        </w:rPr>
        <w:t xml:space="preserve">等</w:t>
      </w:r>
      <w:r>
        <w:rPr>
          <w:rFonts w:hint="eastAsia" w:ascii="宋体" w:hAnsi="宋体" w:eastAsia="宋体" w:cs="宋体"/>
          <w:b/>
          <w:bCs/>
          <w:sz w:val="24"/>
          <w:szCs w:val="24"/>
          <w:highlight w:val="none"/>
        </w:rPr>
        <w:t xml:space="preserve">证明材料，否则视为不</w:t>
      </w:r>
      <w:r>
        <w:rPr>
          <w:rFonts w:hint="eastAsia" w:ascii="宋体" w:hAnsi="宋体" w:eastAsia="宋体" w:cs="宋体"/>
          <w:b/>
          <w:bCs/>
          <w:sz w:val="24"/>
          <w:szCs w:val="24"/>
          <w:highlight w:val="none"/>
          <w:lang w:val="en-US" w:eastAsia="zh-CN"/>
        </w:rPr>
        <w:t xml:space="preserve">实质性</w:t>
      </w:r>
      <w:r>
        <w:rPr>
          <w:rFonts w:hint="eastAsia" w:ascii="宋体" w:hAnsi="宋体" w:eastAsia="宋体" w:cs="宋体"/>
          <w:b/>
          <w:bCs/>
          <w:sz w:val="24"/>
          <w:szCs w:val="24"/>
          <w:highlight w:val="none"/>
        </w:rPr>
        <w:t xml:space="preserve">响应采购文件。</w:t>
      </w:r>
      <w:r>
        <w:rPr>
          <w:rFonts w:hint="eastAsia" w:ascii="宋体" w:hAnsi="宋体" w:eastAsia="宋体" w:cs="宋体"/>
          <w:sz w:val="24"/>
          <w:szCs w:val="24"/>
          <w:highlight w:val="none"/>
          <w:lang w:val="en-US" w:eastAsia="zh-CN"/>
        </w:rPr>
        <w:t xml:space="preserve">同时，需额外</w:t>
      </w:r>
      <w:r>
        <w:rPr>
          <w:rFonts w:hint="eastAsia" w:ascii="宋体" w:hAnsi="宋体" w:eastAsia="宋体" w:cs="宋体"/>
          <w:sz w:val="24"/>
          <w:szCs w:val="24"/>
          <w:highlight w:val="none"/>
        </w:rPr>
        <w:t xml:space="preserve">保证2名固定</w:t>
      </w:r>
      <w:r>
        <w:rPr>
          <w:rFonts w:hint="eastAsia" w:ascii="宋体" w:hAnsi="宋体" w:eastAsia="宋体" w:cs="宋体"/>
          <w:sz w:val="24"/>
          <w:szCs w:val="24"/>
          <w:highlight w:val="none"/>
          <w:lang w:val="en-US" w:eastAsia="zh-CN"/>
        </w:rPr>
        <w:t xml:space="preserve">溯源及报告编制</w:t>
      </w:r>
      <w:r>
        <w:rPr>
          <w:rFonts w:hint="eastAsia" w:ascii="宋体" w:hAnsi="宋体" w:eastAsia="宋体" w:cs="宋体"/>
          <w:sz w:val="24"/>
          <w:szCs w:val="24"/>
          <w:highlight w:val="none"/>
        </w:rPr>
        <w:t xml:space="preserve">技术人员和1名水质综合分析人员，人员需具有一定数据分析、质控等相关经验，支撑异常数据预警、断面溯源、报告编制工作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配备2台车，1台车用来保障开展自动站日常运行维护管理工作，保证系统的全年正常运行，1台车用来保障对水源地、国、省考断面溯源支撑。</w:t>
      </w:r>
      <w:r>
        <w:rPr>
          <w:rFonts w:hint="eastAsia" w:ascii="宋体" w:hAnsi="宋体" w:eastAsia="宋体" w:cs="宋体"/>
          <w:b/>
          <w:bCs/>
          <w:sz w:val="24"/>
          <w:szCs w:val="24"/>
          <w:highlight w:val="none"/>
        </w:rPr>
        <w:t xml:space="preserve">2名固定</w:t>
      </w:r>
      <w:r>
        <w:rPr>
          <w:rFonts w:hint="eastAsia" w:ascii="宋体" w:hAnsi="宋体" w:eastAsia="宋体" w:cs="宋体"/>
          <w:b/>
          <w:bCs/>
          <w:sz w:val="24"/>
          <w:szCs w:val="24"/>
          <w:highlight w:val="none"/>
          <w:lang w:val="en-US" w:eastAsia="zh-CN"/>
        </w:rPr>
        <w:t xml:space="preserve">溯源及报告编制</w:t>
      </w:r>
      <w:r>
        <w:rPr>
          <w:rFonts w:hint="eastAsia" w:ascii="宋体" w:hAnsi="宋体" w:eastAsia="宋体" w:cs="宋体"/>
          <w:b/>
          <w:bCs/>
          <w:sz w:val="24"/>
          <w:szCs w:val="24"/>
          <w:highlight w:val="none"/>
        </w:rPr>
        <w:t xml:space="preserve">技术人员和1名水质综合分析人员均须提供聘用合同、与供应商签订的项目合同及供应商出具的相关工作经验证明材料。</w:t>
      </w:r>
      <w:r>
        <w:rPr>
          <w:rFonts w:hint="eastAsia" w:ascii="宋体" w:hAnsi="宋体" w:eastAsia="宋体" w:cs="宋体"/>
          <w:b/>
          <w:bCs/>
          <w:sz w:val="24"/>
          <w:szCs w:val="24"/>
          <w:highlight w:val="none"/>
          <w:lang w:val="en-US" w:eastAsia="zh-CN"/>
        </w:rPr>
        <w:t xml:space="preserve">响应文件中</w:t>
      </w:r>
      <w:r>
        <w:rPr>
          <w:rFonts w:hint="eastAsia" w:ascii="宋体" w:hAnsi="宋体" w:eastAsia="宋体" w:cs="宋体"/>
          <w:b/>
          <w:bCs/>
          <w:sz w:val="24"/>
          <w:szCs w:val="24"/>
          <w:highlight w:val="none"/>
        </w:rPr>
        <w:t xml:space="preserve">须提供</w:t>
      </w:r>
      <w:r>
        <w:rPr>
          <w:rFonts w:hint="eastAsia" w:ascii="宋体" w:hAnsi="宋体" w:eastAsia="宋体" w:cs="宋体"/>
          <w:b/>
          <w:bCs/>
          <w:sz w:val="24"/>
          <w:szCs w:val="24"/>
          <w:highlight w:val="none"/>
          <w:lang w:val="en-US" w:eastAsia="zh-CN"/>
        </w:rPr>
        <w:t xml:space="preserve">相关</w:t>
      </w:r>
      <w:r>
        <w:rPr>
          <w:rFonts w:hint="eastAsia" w:ascii="宋体" w:hAnsi="宋体" w:eastAsia="宋体" w:cs="宋体"/>
          <w:b/>
          <w:bCs/>
          <w:sz w:val="24"/>
          <w:szCs w:val="24"/>
          <w:highlight w:val="none"/>
        </w:rPr>
        <w:t xml:space="preserve">证明材料，否则视为不</w:t>
      </w:r>
      <w:r>
        <w:rPr>
          <w:rFonts w:hint="eastAsia" w:ascii="宋体" w:hAnsi="宋体" w:eastAsia="宋体" w:cs="宋体"/>
          <w:b/>
          <w:bCs/>
          <w:sz w:val="24"/>
          <w:szCs w:val="24"/>
          <w:highlight w:val="none"/>
          <w:lang w:val="en-US" w:eastAsia="zh-CN"/>
        </w:rPr>
        <w:t xml:space="preserve">实质性</w:t>
      </w:r>
      <w:r>
        <w:rPr>
          <w:rFonts w:hint="eastAsia" w:ascii="宋体" w:hAnsi="宋体" w:eastAsia="宋体" w:cs="宋体"/>
          <w:b/>
          <w:bCs/>
          <w:sz w:val="24"/>
          <w:szCs w:val="24"/>
          <w:highlight w:val="none"/>
        </w:rPr>
        <w:t xml:space="preserve">响应采购文件。</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2.5供应商应具备完善的系统配件供应渠道。</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供应商应提供完整的地表水质自动监测系统服务方案（含应急事故处理方案，年度维修，备机提供等），提出解决目前存在问题的措施，并建立文件化的日常运行体系，根据采购文件的要求明确维护方法、周期、内容及技术保障等。</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2.7供应商应列明水质自动监测系统运营及管理期间的各项费用预算开支（运行维护、年度维修、其他服务等）。</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2.8在水质自动监测系统运行维护及管理期间，在合同约束范围内供应商拥有管理自主权；不能以任何形式外包合同规定的运行维护任务。</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在水质自动监测系统运行维护及管理期间，供应商应严格按照采购单位制订的操作规范和规章制度，对所管理的系统及仪器设备进行规范操作和精心维护及必要维修，保证系统及仪器设备的正常运行，达到采购单位提出的系统及仪器设备考核指标要求。供应商必须接受采购单位代表的定期或不定期检查和考核。</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2.10不论何时，供应商应承担监测数据的保密责任；供应商按照采购单位的要求，进行报告和传输有关的监测数据，均不得以任何方式和渠道向外界传递任何监测数据。</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2.11财产保护：供应商须做好日常安全管理，运营维护期间所需水电、通讯费用由供应商负责，委托运营维护及管理的全部资产（包括全部产权和建筑物、设备、软件、配套设施、水质自动站和配套监控系统产生的各类数据信息及相关文档资料）属采购单位所有。供应商不得以任何方式对各类财产进行出售、抵押或转移；同时，在委托运营及管理期间，供应商有责任保证上述全部资产的完整、安全并处于良好状态。协助采购单位做好水站固定资产的管理、备品配件的登记等工作。未经采购单位允许，非水站服务人员不得擅自进入站房。</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供应商需要配备1套通过计量检定/校准的便携式多参数分析仪（水温、pH值、溶解氧、电导率、浊度、叶绿素a和藻密度），溶解氧便携监测设备应满足原位监测要求，并在需要时用于水质自动监测站的质控及比对考核。</w:t>
      </w:r>
      <w:r>
        <w:rPr>
          <w:rFonts w:hint="eastAsia" w:ascii="宋体" w:hAnsi="宋体" w:eastAsia="宋体" w:cs="宋体"/>
          <w:b/>
          <w:bCs/>
          <w:sz w:val="24"/>
          <w:szCs w:val="24"/>
          <w:highlight w:val="none"/>
          <w:lang w:val="en-US" w:eastAsia="zh-CN"/>
        </w:rPr>
        <w:t xml:space="preserve">响应文件中</w:t>
      </w:r>
      <w:r>
        <w:rPr>
          <w:rFonts w:hint="eastAsia" w:ascii="宋体" w:hAnsi="宋体" w:eastAsia="宋体" w:cs="宋体"/>
          <w:b/>
          <w:bCs/>
          <w:sz w:val="24"/>
          <w:szCs w:val="24"/>
          <w:highlight w:val="none"/>
        </w:rPr>
        <w:t xml:space="preserve">须提供</w:t>
      </w:r>
      <w:r>
        <w:rPr>
          <w:rFonts w:hint="eastAsia" w:ascii="宋体" w:hAnsi="宋体" w:eastAsia="宋体" w:cs="宋体"/>
          <w:b/>
          <w:bCs/>
          <w:sz w:val="24"/>
          <w:szCs w:val="24"/>
          <w:highlight w:val="none"/>
          <w:lang w:val="en-US" w:eastAsia="zh-CN"/>
        </w:rPr>
        <w:t xml:space="preserve">相关</w:t>
      </w:r>
      <w:r>
        <w:rPr>
          <w:rFonts w:hint="eastAsia" w:ascii="宋体" w:hAnsi="宋体" w:eastAsia="宋体" w:cs="宋体"/>
          <w:b/>
          <w:bCs/>
          <w:sz w:val="24"/>
          <w:szCs w:val="24"/>
          <w:highlight w:val="none"/>
        </w:rPr>
        <w:t xml:space="preserve">证明材料</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已经购买的须提供购置发票或采购合同证明</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未购买的与生产厂家签订了供货协议或意向性供货协议</w:t>
      </w:r>
      <w:r>
        <w:rPr>
          <w:rFonts w:hint="eastAsia" w:ascii="宋体" w:hAnsi="宋体" w:eastAsia="宋体" w:cs="宋体"/>
          <w:b/>
          <w:bCs/>
          <w:sz w:val="24"/>
          <w:szCs w:val="24"/>
          <w:highlight w:val="none"/>
          <w:lang w:val="en-US" w:eastAsia="zh-CN"/>
        </w:rPr>
        <w:t xml:space="preserve">或承诺成交后购买的相关承诺函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否则视为不</w:t>
      </w:r>
      <w:r>
        <w:rPr>
          <w:rFonts w:hint="eastAsia" w:ascii="宋体" w:hAnsi="宋体" w:eastAsia="宋体" w:cs="宋体"/>
          <w:b/>
          <w:bCs/>
          <w:sz w:val="24"/>
          <w:szCs w:val="24"/>
          <w:highlight w:val="none"/>
          <w:lang w:val="en-US" w:eastAsia="zh-CN"/>
        </w:rPr>
        <w:t xml:space="preserve">实质性</w:t>
      </w:r>
      <w:r>
        <w:rPr>
          <w:rFonts w:hint="eastAsia" w:ascii="宋体" w:hAnsi="宋体" w:eastAsia="宋体" w:cs="宋体"/>
          <w:b/>
          <w:bCs/>
          <w:sz w:val="24"/>
          <w:szCs w:val="24"/>
          <w:highlight w:val="none"/>
        </w:rPr>
        <w:t xml:space="preserve">响应采购文件</w:t>
      </w:r>
      <w:r>
        <w:rPr>
          <w:rFonts w:hint="eastAsia" w:ascii="宋体" w:hAnsi="宋体" w:eastAsia="宋体" w:cs="宋体"/>
          <w:b/>
          <w:bCs/>
          <w:sz w:val="24"/>
          <w:szCs w:val="24"/>
          <w:highlight w:val="none"/>
          <w:lang w:eastAsia="zh-CN"/>
        </w:rPr>
        <w:t xml:space="preserve">。</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供应商需配备十一项参数（水温、pH值、溶解氧、电导率、浊度、高锰酸盐指数、氨氮、总磷、总氮、叶绿素a及藻密度）的备机。备机性能及功能应满足相关技术规范要求和管理需求。备机均应通过环境保护部环境监测仪器质量监督检验中心的适用性检测，具有环境保护部环境监测仪器质量监督检验中心出具的在有效期内的检测合格报告。同时将测量数据等参数按水站数据传输协议上传至苏州市环境质量自动监测监控系统。</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2.14供应商应为本项目配备系统软件专业人员，巡检人员必须配备专用工具，包括便携式电脑、万用表、远程数据查询系统、移动维护平板电脑等；同时，还须配备通讯调试工具，包括各种硬件接口线、改线工具、接口调试软件及常用零部件等。</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运行管理中所用器件、备品、耗材和配件均由供应商承担，应达到相应的质量要求，使用前需经采购单位确认，并应保证24小时内更换到位。pH电极、溶解氧膜头、氟化物膜头及泵管等易耗件或采购单位认为必须更换的器件，必须按需更换。必须使用原厂生产的备品备件（若无原厂生产的，则应使用经</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机构检定合格的），严禁使用未经</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机构检定合格或劣质备品备件和耗材。</w:t>
      </w:r>
      <w:r/>
    </w:p>
    <w:p>
      <w:pPr>
        <w:pStyle w:val="956"/>
        <w:ind w:firstLine="480"/>
        <w:jc w:val="left"/>
        <w:spacing w:line="360" w:lineRule="auto"/>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3、运行维护要求：</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3.1水站服务标准须严格按照</w:t>
      </w:r>
      <w:r>
        <w:rPr>
          <w:rFonts w:hint="eastAsia" w:ascii="宋体" w:hAnsi="宋体" w:eastAsia="宋体" w:cs="宋体"/>
          <w:b w:val="0"/>
          <w:bCs w:val="0"/>
          <w:sz w:val="24"/>
          <w:szCs w:val="24"/>
          <w:highlight w:val="none"/>
          <w:lang w:eastAsia="zh-CN"/>
        </w:rPr>
        <w:t xml:space="preserve">《地表水水质自动监测站选址与基础 设施建设技术要求》（HJ 915.1—2024）、《地表水水质自动监测站（常规五参数、CODMn、NH3⁃N、TP、TN）安装验收技术规范》（HJ 915.2—2024）、《地表水水质自动监测站（常规五参数、CODMn、NH3⁃N、TP、TN）运行维护技术规范》（HJ 915.3—2024）</w:t>
      </w:r>
      <w:r>
        <w:rPr>
          <w:rFonts w:hint="eastAsia" w:ascii="宋体" w:hAnsi="宋体" w:eastAsia="宋体" w:cs="宋体"/>
          <w:sz w:val="24"/>
          <w:szCs w:val="24"/>
          <w:highlight w:val="none"/>
        </w:rPr>
        <w:t xml:space="preserve">、《关于印发&lt;国家地表水水质自动监测站运行维护管理实施细则（试行）&gt;等文件的通知》（总站水字〔2019〕649号）、《环</w:t>
      </w:r>
      <w:r>
        <w:rPr>
          <w:rFonts w:hint="eastAsia" w:ascii="宋体" w:hAnsi="宋体" w:eastAsia="宋体" w:cs="宋体"/>
          <w:sz w:val="24"/>
          <w:szCs w:val="24"/>
          <w:highlight w:val="none"/>
        </w:rPr>
        <w:t xml:space="preserve">境水质（地表水）自动监测站运行维护技术规范》（DB 32/T 4536- 2023）、《省生态环境厅&lt;关于印发江苏省地表水自动监测站运行管理办法（试行）&gt;的通知》（苏环办〔2020〕174号）、《省生态环境厅&lt;关于印发江苏省地表水水质自动监测站建设技术要求——站房、采水及文化建设部分（试行）&gt;的通知》（苏环办〔2019〕114号）、《江苏省环境水质（地表水）自动监测预警系统运行管理办法（试行）》以及省生态环境厅印发的其它相关文件的要求执行。如文件中有矛盾之处，以后发布的文件为准，采购单位保留对文件的解释权。</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3.2当采购单位依据国家或省级有关规定和技术规范要求出台新的水站运行维护要求时，以新要求为准。</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签订合同后15天内，供应商按照相关技术规范和运行维护合同要求，结合成交实际情况，有针对性的编制运行维护交接方案，方案内容包括但不限于时间及人员安排、职责分工、交接内容、交接流程。经采购单位审核确认后，交接双方按照运行维护交接方案有序开展运行维护交接工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3.4水站日常运行和维护管理</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水质自动站要严格按照“日监控，周巡查、月比对”的要求，并基于“苏州市环境质量自动监测监控系统”，开展日常维护和质控工作，根据相应规范要求明确维护方法、周期、内容及技术保障等。每天做好数据监控、每周定期巡视水站。</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3.5供应商应根据水站实际情况，合理安排水站日常运行维护工作，认真、及时做好维护记录，汇总水站每周运行维护情况，每月编制书面运行维护报告并按时提交采购单位，汇报运行维护计划执行情况以及运行维护工作开展情况。包含但不限于采水口清理，采配水管路清洗、仪器定期清洗和保养、试剂更换、耗材更换、仪器校准、关键参数及流程日志检查、废液收集和处理、站房和辅助设施维护，以及应急运行维护工作开展情况，预防人为干扰监测行为调查等水质自动站相关运行维护工作情况。</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每月书面运行维护报告作为运行维护考核依据之一，具体包括：</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（1）自动站日常维护等相关记录；</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（2）自动站仪器设备故障及排除情况登记表；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（3）自动站每月有效运行情况，有效运行率、数据捕获率的统计；</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（4）自动站备品备件管理登记表；</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（5）自动站仪器日质控、标液核查、水样比对、加标回收等质控措施开展情况。</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3.6水站现场配备必要的操作手册、管理规章和现场记录本等。供应商服务人员应遵守水站安全管理条例规定，水站应保持各仪器干净清洁，内部管路通畅，出水正常。对于各类分析仪器，应防止日光直射，保持环境温度稳定，避免仪器振动。日常应经常检查其供电是否正常、过程温度是否正常、工作时序是否正常、有无漏液及管路是否有气泡、搅拌电机是否工作正常等。</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3.7挥发性有机物VOCs在线分析仪维护周期及要求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06"/>
        <w:gridCol w:w="1729"/>
        <w:gridCol w:w="6016"/>
      </w:tblGrid>
      <w:tr>
        <w:trPr>
          <w:jc w:val="center"/>
          <w:trHeight w:val="300"/>
        </w:trPr>
        <w:tc>
          <w:tcPr>
            <w:tcW w:w="851"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序号</w:t>
            </w:r>
            <w:r/>
          </w:p>
        </w:tc>
        <w:tc>
          <w:tcPr>
            <w:tcW w:w="1106"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维护内容</w:t>
            </w:r>
            <w:r/>
          </w:p>
        </w:tc>
        <w:tc>
          <w:tcPr>
            <w:tcW w:w="1729"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维护周期及目标</w:t>
            </w:r>
            <w:r/>
          </w:p>
        </w:tc>
        <w:tc>
          <w:tcPr>
            <w:tcW w:w="6016" w:type="dxa"/>
            <w:vAlign w:val="center"/>
            <w:textDirection w:val="lrTb"/>
            <w:noWrap w:val="false"/>
          </w:tcPr>
          <w:p>
            <w:pPr>
              <w:jc w:val="center"/>
              <w:rPr>
                <w:rFonts w:ascii="宋体" w:hAnsi="宋体" w:eastAsia="宋体" w:cs="宋体"/>
                <w:b/>
                <w:bCs/>
                <w:sz w:val="18"/>
                <w:szCs w:val="21"/>
                <w:highlight w:val="none"/>
              </w:rPr>
            </w:pPr>
            <w:r>
              <w:rPr>
                <w:rFonts w:hint="eastAsia" w:ascii="宋体" w:hAnsi="宋体" w:eastAsia="宋体" w:cs="宋体"/>
                <w:b/>
                <w:bCs/>
                <w:sz w:val="18"/>
                <w:szCs w:val="21"/>
                <w:highlight w:val="none"/>
              </w:rPr>
              <w:t xml:space="preserve">维护要求</w:t>
            </w:r>
            <w:r/>
          </w:p>
        </w:tc>
      </w:tr>
      <w:tr>
        <w:trPr>
          <w:jc w:val="center"/>
          <w:trHeight w:val="1398"/>
        </w:trPr>
        <w:tc>
          <w:tcPr>
            <w:tcW w:w="851" w:type="dxa"/>
            <w:vAlign w:val="center"/>
            <w:textDirection w:val="lrTb"/>
            <w:noWrap w:val="false"/>
          </w:tcPr>
          <w:p>
            <w:pPr>
              <w:jc w:val="center"/>
              <w:rPr>
                <w:rFonts w:ascii="宋体" w:hAnsi="宋体" w:eastAsia="宋体" w:cs="宋体"/>
                <w:sz w:val="18"/>
                <w:szCs w:val="21"/>
                <w:highlight w:val="none"/>
              </w:rPr>
            </w:pPr>
            <w:r>
              <w:rPr>
                <w:rFonts w:ascii="宋体" w:hAnsi="宋体" w:eastAsia="宋体" w:cs="宋体"/>
                <w:sz w:val="18"/>
                <w:szCs w:val="21"/>
                <w:highlight w:val="none"/>
              </w:rPr>
              <w:t xml:space="preserve">1</w:t>
            </w:r>
            <w:r/>
          </w:p>
        </w:tc>
        <w:tc>
          <w:tcPr>
            <w:tcW w:w="1106" w:type="dxa"/>
            <w:vAlign w:val="center"/>
            <w:textDirection w:val="lrTb"/>
            <w:noWrap w:val="false"/>
          </w:tcPr>
          <w:p>
            <w:pPr>
              <w:rPr>
                <w:rFonts w:ascii="宋体" w:hAnsi="宋体" w:eastAsia="宋体" w:cs="宋体"/>
                <w:sz w:val="18"/>
                <w:szCs w:val="21"/>
                <w:highlight w:val="none"/>
              </w:rPr>
            </w:pPr>
            <w:r>
              <w:rPr>
                <w:rFonts w:hint="eastAsia" w:ascii="宋体" w:hAnsi="宋体" w:eastAsia="宋体" w:cs="宋体"/>
                <w:sz w:val="18"/>
                <w:szCs w:val="21"/>
                <w:highlight w:val="none"/>
              </w:rPr>
              <w:t xml:space="preserve">挥发性有机物</w:t>
            </w:r>
            <w:r>
              <w:rPr>
                <w:rFonts w:ascii="宋体" w:hAnsi="宋体" w:eastAsia="宋体" w:cs="宋体"/>
                <w:sz w:val="18"/>
                <w:szCs w:val="21"/>
                <w:highlight w:val="none"/>
              </w:rPr>
              <w:t xml:space="preserve">VOCs在线分析仪</w:t>
            </w:r>
            <w:r/>
          </w:p>
        </w:tc>
        <w:tc>
          <w:tcPr>
            <w:tcW w:w="1729" w:type="dxa"/>
            <w:vAlign w:val="center"/>
            <w:textDirection w:val="lrTb"/>
            <w:noWrap w:val="false"/>
          </w:tcPr>
          <w:p>
            <w:pPr>
              <w:jc w:val="left"/>
              <w:rPr>
                <w:rFonts w:ascii="宋体" w:hAnsi="宋体" w:eastAsia="宋体" w:cs="宋体"/>
                <w:sz w:val="18"/>
                <w:szCs w:val="21"/>
                <w:highlight w:val="none"/>
              </w:rPr>
            </w:pPr>
            <w:r>
              <w:rPr>
                <w:rFonts w:hint="eastAsia" w:ascii="宋体" w:hAnsi="宋体" w:eastAsia="宋体" w:cs="宋体"/>
                <w:sz w:val="18"/>
                <w:szCs w:val="21"/>
                <w:highlight w:val="none"/>
              </w:rPr>
              <w:t xml:space="preserve">每日</w:t>
            </w:r>
            <w:r>
              <w:rPr>
                <w:rFonts w:ascii="宋体" w:hAnsi="宋体" w:eastAsia="宋体" w:cs="宋体"/>
                <w:sz w:val="18"/>
                <w:szCs w:val="21"/>
                <w:highlight w:val="none"/>
              </w:rPr>
              <w:t xml:space="preserve">,远程查看数据情况</w:t>
            </w:r>
            <w:r/>
          </w:p>
          <w:p>
            <w:pPr>
              <w:pStyle w:val="956"/>
              <w:jc w:val="left"/>
              <w:spacing w:line="240" w:lineRule="auto"/>
              <w:rPr>
                <w:rFonts w:ascii="宋体" w:hAnsi="宋体" w:eastAsia="宋体" w:cs="宋体"/>
                <w:sz w:val="18"/>
                <w:szCs w:val="21"/>
                <w:highlight w:val="none"/>
              </w:rPr>
            </w:pPr>
            <w:r>
              <w:rPr>
                <w:rFonts w:hint="eastAsia" w:ascii="宋体" w:hAnsi="宋体" w:eastAsia="宋体" w:cs="宋体"/>
                <w:sz w:val="18"/>
                <w:szCs w:val="21"/>
                <w:highlight w:val="none"/>
              </w:rPr>
              <w:t xml:space="preserve">每周</w:t>
            </w:r>
            <w:r>
              <w:rPr>
                <w:rFonts w:ascii="宋体" w:hAnsi="宋体" w:eastAsia="宋体" w:cs="宋体"/>
                <w:sz w:val="18"/>
                <w:szCs w:val="21"/>
                <w:highlight w:val="none"/>
              </w:rPr>
              <w:t xml:space="preserve">,开展现场巡检维护</w:t>
            </w:r>
            <w:r/>
          </w:p>
        </w:tc>
        <w:tc>
          <w:tcPr>
            <w:tcW w:w="6016" w:type="dxa"/>
            <w:vAlign w:val="center"/>
            <w:textDirection w:val="lrTb"/>
            <w:noWrap w:val="false"/>
          </w:tcPr>
          <w:p>
            <w:pPr>
              <w:contextualSpacing/>
              <w:jc w:val="left"/>
              <w:tabs>
                <w:tab w:val="left" w:pos="2280" w:leader="none"/>
              </w:tabs>
              <w:rPr>
                <w:rFonts w:ascii="宋体" w:hAnsi="宋体" w:eastAsia="宋体" w:cs="宋体"/>
                <w:sz w:val="18"/>
                <w:szCs w:val="21"/>
                <w:highlight w:val="none"/>
              </w:rPr>
            </w:pPr>
            <w:r>
              <w:rPr>
                <w:rFonts w:hint="eastAsia" w:ascii="宋体" w:hAnsi="宋体" w:eastAsia="宋体" w:cs="宋体"/>
                <w:sz w:val="18"/>
                <w:szCs w:val="21"/>
                <w:highlight w:val="none"/>
              </w:rPr>
              <w:t xml:space="preserve">①数据发现异常及时开展现场维护工作；</w:t>
            </w:r>
            <w:r/>
          </w:p>
          <w:p>
            <w:pPr>
              <w:contextualSpacing/>
              <w:jc w:val="left"/>
              <w:tabs>
                <w:tab w:val="left" w:pos="2280" w:leader="none"/>
              </w:tabs>
              <w:rPr>
                <w:rFonts w:ascii="宋体" w:hAnsi="宋体" w:eastAsia="宋体" w:cs="宋体"/>
                <w:sz w:val="18"/>
                <w:szCs w:val="21"/>
                <w:highlight w:val="none"/>
              </w:rPr>
            </w:pPr>
            <w:r>
              <w:rPr>
                <w:rFonts w:hint="eastAsia" w:ascii="宋体" w:hAnsi="宋体" w:eastAsia="宋体" w:cs="宋体"/>
                <w:sz w:val="18"/>
                <w:szCs w:val="21"/>
                <w:highlight w:val="none"/>
              </w:rPr>
              <w:t xml:space="preserve">②对仪器样水杯进行清洗，检查仪器采集水样是否达到液位要求；检查载气压力及钢瓶固定情况是否符合要求；检查仪器各部件升温及降温情况，同时对仪器触发信号进行检查；查看仪器内置标准物质运行图谱和报告，查看色谱图是否正常，保留时间偏差是否在允许范围内。当挥发性有机物监测仪器原理为</w:t>
            </w:r>
            <w:r>
              <w:rPr>
                <w:rFonts w:ascii="宋体" w:hAnsi="宋体" w:eastAsia="宋体" w:cs="宋体"/>
                <w:sz w:val="18"/>
                <w:szCs w:val="21"/>
                <w:highlight w:val="none"/>
              </w:rPr>
              <w:t xml:space="preserve">GC-MS时，还需核查仪器真空度是否达到仪器设定要求，查阅调谐报告，确认四极杆或同类质谱分析模块是否达到仪器设定要求。</w:t>
            </w:r>
            <w:r/>
          </w:p>
        </w:tc>
      </w:tr>
    </w:tbl>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3.8藻类分类维护周期及要求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42"/>
        <w:gridCol w:w="1679"/>
        <w:gridCol w:w="6045"/>
      </w:tblGrid>
      <w:tr>
        <w:trPr>
          <w:jc w:val="center"/>
          <w:trHeight w:val="300"/>
        </w:trPr>
        <w:tc>
          <w:tcPr>
            <w:tcW w:w="851"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序号</w:t>
            </w:r>
            <w:r/>
          </w:p>
        </w:tc>
        <w:tc>
          <w:tcPr>
            <w:tcW w:w="1142"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维护内容</w:t>
            </w:r>
            <w:r/>
          </w:p>
        </w:tc>
        <w:tc>
          <w:tcPr>
            <w:tcW w:w="1679"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维护周期及目标</w:t>
            </w:r>
            <w:r/>
          </w:p>
        </w:tc>
        <w:tc>
          <w:tcPr>
            <w:tcW w:w="6045"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维护要求</w:t>
            </w:r>
            <w:r/>
          </w:p>
        </w:tc>
      </w:tr>
      <w:tr>
        <w:trPr>
          <w:jc w:val="center"/>
          <w:trHeight w:val="285"/>
        </w:trPr>
        <w:tc>
          <w:tcPr>
            <w:tcW w:w="85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W w:w="1142"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藻类分类</w:t>
            </w:r>
            <w:r/>
          </w:p>
        </w:tc>
        <w:tc>
          <w:tcPr>
            <w:tcW w:w="1679" w:type="dxa"/>
            <w:vAlign w:val="center"/>
            <w:textDirection w:val="lrTb"/>
            <w:noWrap w:val="false"/>
          </w:tcPr>
          <w:p>
            <w:pPr>
              <w:jc w:val="left"/>
              <w:rPr>
                <w:rFonts w:ascii="宋体" w:hAnsi="宋体" w:eastAsia="宋体" w:cs="宋体"/>
                <w:sz w:val="18"/>
                <w:szCs w:val="18"/>
                <w:highlight w:val="none"/>
              </w:rPr>
            </w:pPr>
            <w:r>
              <w:rPr>
                <w:rFonts w:ascii="宋体" w:hAnsi="宋体" w:eastAsia="宋体" w:cs="宋体"/>
                <w:sz w:val="18"/>
                <w:szCs w:val="18"/>
                <w:highlight w:val="none"/>
              </w:rPr>
              <w:t xml:space="preserve">1次/月，清洗sensor分析室、更换进样管路等确保仪器各项性能完好</w:t>
            </w:r>
            <w:r/>
          </w:p>
        </w:tc>
        <w:tc>
          <w:tcPr>
            <w:tcW w:w="6045"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①清洗</w:t>
            </w:r>
            <w:r>
              <w:rPr>
                <w:rFonts w:ascii="宋体" w:hAnsi="宋体" w:eastAsia="宋体" w:cs="宋体"/>
                <w:sz w:val="18"/>
                <w:szCs w:val="18"/>
                <w:highlight w:val="none"/>
              </w:rPr>
              <w:t xml:space="preserve">sensor分析室；</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②更换进样管路；</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③检查数据传输线路是否正常；</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④检查电源和数据是否正常；</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⑤清洁机柜及外部仪器检查和仪器性能检查；</w:t>
            </w:r>
            <w:r/>
          </w:p>
          <w:p>
            <w:pPr>
              <w:pStyle w:val="956"/>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⑥备件更换。</w:t>
            </w:r>
            <w:r/>
          </w:p>
        </w:tc>
      </w:tr>
    </w:tbl>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3.9在线污染预警溯源仪维护周期及要求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2693"/>
        <w:gridCol w:w="4882"/>
      </w:tblGrid>
      <w:tr>
        <w:trPr>
          <w:jc w:val="center"/>
          <w:trHeight w:val="300"/>
        </w:trPr>
        <w:tc>
          <w:tcPr>
            <w:tcW w:w="851"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序号</w:t>
            </w:r>
            <w:r/>
          </w:p>
        </w:tc>
        <w:tc>
          <w:tcPr>
            <w:tcW w:w="1276"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维护内容</w:t>
            </w:r>
            <w:r/>
          </w:p>
        </w:tc>
        <w:tc>
          <w:tcPr>
            <w:tcW w:w="2693"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维护周期及目标</w:t>
            </w:r>
            <w:r/>
          </w:p>
        </w:tc>
        <w:tc>
          <w:tcPr>
            <w:tcW w:w="4882"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维护要求</w:t>
            </w:r>
            <w:r/>
          </w:p>
        </w:tc>
      </w:tr>
      <w:tr>
        <w:trPr>
          <w:jc w:val="center"/>
          <w:trHeight w:val="285"/>
        </w:trPr>
        <w:tc>
          <w:tcPr>
            <w:tcW w:w="85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W w:w="12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在线污染预警溯源仪</w:t>
            </w:r>
            <w:r/>
          </w:p>
        </w:tc>
        <w:tc>
          <w:tcPr>
            <w:tcW w:w="2693" w:type="dxa"/>
            <w:vAlign w:val="center"/>
            <w:textDirection w:val="lrTb"/>
            <w:noWrap w:val="false"/>
          </w:tcPr>
          <w:p>
            <w:pPr>
              <w:jc w:val="left"/>
              <w:rPr>
                <w:rFonts w:ascii="宋体" w:hAnsi="宋体" w:eastAsia="宋体" w:cs="宋体"/>
                <w:sz w:val="18"/>
                <w:szCs w:val="18"/>
                <w:highlight w:val="none"/>
              </w:rPr>
            </w:pPr>
            <w:r>
              <w:rPr>
                <w:rFonts w:hint="eastAsia" w:ascii="宋体" w:hAnsi="宋体" w:eastAsia="宋体" w:cs="宋体"/>
                <w:sz w:val="18"/>
                <w:szCs w:val="18"/>
                <w:highlight w:val="none"/>
              </w:rPr>
              <w:t xml:space="preserve">定期更换监测系统和仪表所需备品备件</w:t>
            </w:r>
            <w:r/>
          </w:p>
          <w:p>
            <w:pPr>
              <w:pStyle w:val="956"/>
              <w:jc w:val="left"/>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对</w:t>
            </w:r>
            <w:r>
              <w:rPr>
                <w:rFonts w:ascii="宋体" w:hAnsi="宋体" w:eastAsia="宋体" w:cs="宋体"/>
                <w:sz w:val="18"/>
                <w:szCs w:val="18"/>
                <w:highlight w:val="none"/>
              </w:rPr>
              <w:t xml:space="preserve">3台在线仪器的年度维护服务</w:t>
            </w:r>
            <w:r/>
          </w:p>
        </w:tc>
        <w:tc>
          <w:tcPr>
            <w:tcW w:w="488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软件升级，各个单元全面检修，对存在异常的模件部件进行维修或更换处理。</w:t>
            </w:r>
            <w:r/>
          </w:p>
        </w:tc>
      </w:tr>
    </w:tbl>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3.10在线生物毒性监测仪维护周期及要求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2700"/>
        <w:gridCol w:w="4860"/>
      </w:tblGrid>
      <w:tr>
        <w:trPr>
          <w:jc w:val="center"/>
          <w:trHeight w:val="300"/>
        </w:trPr>
        <w:tc>
          <w:tcPr>
            <w:tcW w:w="851"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序号</w:t>
            </w:r>
            <w:r/>
          </w:p>
        </w:tc>
        <w:tc>
          <w:tcPr>
            <w:tcW w:w="1276"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维护内容</w:t>
            </w:r>
            <w:r/>
          </w:p>
        </w:tc>
        <w:tc>
          <w:tcPr>
            <w:tcW w:w="2700"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维护周期及目标</w:t>
            </w:r>
            <w:r/>
          </w:p>
        </w:tc>
        <w:tc>
          <w:tcPr>
            <w:tcW w:w="4860"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维护要求</w:t>
            </w:r>
            <w:r/>
          </w:p>
        </w:tc>
      </w:tr>
      <w:tr>
        <w:trPr>
          <w:jc w:val="center"/>
          <w:trHeight w:val="54"/>
        </w:trPr>
        <w:tc>
          <w:tcPr>
            <w:tcW w:w="85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1</w:t>
            </w:r>
            <w:r/>
          </w:p>
        </w:tc>
        <w:tc>
          <w:tcPr>
            <w:tcW w:w="12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在线生物毒性监测仪</w:t>
            </w:r>
            <w:r/>
          </w:p>
        </w:tc>
        <w:tc>
          <w:tcPr>
            <w:tcW w:w="2700" w:type="dxa"/>
            <w:vAlign w:val="center"/>
            <w:textDirection w:val="lrTb"/>
            <w:noWrap w:val="false"/>
          </w:tcPr>
          <w:p>
            <w:pPr>
              <w:pStyle w:val="956"/>
              <w:jc w:val="left"/>
              <w:spacing w:line="240" w:lineRule="auto"/>
              <w:rPr>
                <w:rFonts w:ascii="宋体" w:hAnsi="宋体" w:eastAsia="宋体" w:cs="宋体"/>
                <w:sz w:val="18"/>
                <w:szCs w:val="18"/>
                <w:highlight w:val="none"/>
              </w:rPr>
            </w:pPr>
            <w:r>
              <w:rPr>
                <w:rFonts w:ascii="宋体" w:hAnsi="宋体" w:eastAsia="宋体" w:cs="宋体"/>
                <w:sz w:val="18"/>
                <w:szCs w:val="18"/>
                <w:highlight w:val="none"/>
              </w:rPr>
              <w:t xml:space="preserve">1次/周，现场添加一次发光菌试剂</w:t>
            </w:r>
            <w:r/>
          </w:p>
          <w:p>
            <w:pPr>
              <w:pStyle w:val="957"/>
              <w:ind w:left="0"/>
              <w:jc w:val="left"/>
              <w:rPr>
                <w:rFonts w:ascii="宋体" w:hAnsi="宋体" w:eastAsia="宋体" w:cs="宋体"/>
                <w:sz w:val="18"/>
                <w:szCs w:val="18"/>
                <w:highlight w:val="none"/>
              </w:rPr>
            </w:pPr>
            <w:r>
              <w:rPr>
                <w:rFonts w:ascii="宋体" w:hAnsi="宋体" w:eastAsia="宋体" w:cs="宋体"/>
                <w:sz w:val="18"/>
                <w:szCs w:val="18"/>
                <w:highlight w:val="none"/>
              </w:rPr>
              <w:t xml:space="preserve">1次/月，进行一次仪器的深度清洗</w:t>
            </w:r>
            <w:r/>
          </w:p>
          <w:p>
            <w:pPr>
              <w:pStyle w:val="951"/>
              <w:ind w:firstLine="0"/>
              <w:jc w:val="left"/>
              <w:spacing w:line="240" w:lineRule="auto"/>
              <w:rPr>
                <w:rFonts w:hAnsi="宋体" w:cs="宋体"/>
                <w:sz w:val="18"/>
                <w:szCs w:val="18"/>
                <w:highlight w:val="none"/>
              </w:rPr>
            </w:pPr>
            <w:r>
              <w:rPr>
                <w:rFonts w:hAnsi="宋体" w:cs="宋体"/>
                <w:sz w:val="18"/>
                <w:szCs w:val="18"/>
                <w:highlight w:val="none"/>
              </w:rPr>
              <w:t xml:space="preserve">1次/年，对监测仪器软硬件进行更新、大修</w:t>
            </w:r>
            <w:r/>
          </w:p>
        </w:tc>
        <w:tc>
          <w:tcPr>
            <w:tcW w:w="4860" w:type="dxa"/>
            <w:vAlign w:val="center"/>
            <w:textDirection w:val="lrTb"/>
            <w:noWrap w:val="false"/>
          </w:tcPr>
          <w:p>
            <w:pPr>
              <w:pStyle w:val="956"/>
              <w:jc w:val="left"/>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①对仪器工作状态和管路畅通情况进行检查，必要时清洗管路保持仪器设备和检测系统的清洁；</w:t>
            </w:r>
            <w:r/>
          </w:p>
          <w:p>
            <w:pPr>
              <w:pStyle w:val="956"/>
              <w:jc w:val="left"/>
              <w:spacing w:line="240" w:lineRule="auto"/>
              <w:rPr>
                <w:rFonts w:ascii="宋体" w:hAnsi="宋体" w:eastAsia="宋体" w:cs="宋体"/>
                <w:sz w:val="18"/>
                <w:szCs w:val="18"/>
                <w:highlight w:val="none"/>
              </w:rPr>
            </w:pPr>
            <w:r>
              <w:rPr>
                <w:rFonts w:hint="eastAsia" w:ascii="宋体" w:hAnsi="宋体" w:eastAsia="宋体" w:cs="宋体"/>
                <w:sz w:val="18"/>
                <w:szCs w:val="18"/>
                <w:highlight w:val="none"/>
              </w:rPr>
              <w:t xml:space="preserve">②对监测仪器硬件采配水、预处理、主机配件的更换，软件系统扩充和升级。</w:t>
            </w:r>
            <w:r/>
          </w:p>
          <w:p>
            <w:pPr>
              <w:pStyle w:val="957"/>
              <w:ind w:left="0"/>
              <w:jc w:val="center"/>
              <w:rPr>
                <w:rFonts w:ascii="宋体" w:hAnsi="宋体" w:eastAsia="宋体" w:cs="宋体"/>
                <w:sz w:val="18"/>
                <w:szCs w:val="18"/>
                <w:highlight w:val="none"/>
              </w:rPr>
            </w:pPr>
            <w:r>
              <w:rPr>
                <w:rFonts w:ascii="宋体" w:hAnsi="宋体" w:eastAsia="宋体" w:cs="宋体"/>
                <w:sz w:val="18"/>
                <w:szCs w:val="18"/>
                <w:highlight w:val="none"/>
              </w:rPr>
            </w:r>
            <w:r/>
          </w:p>
        </w:tc>
      </w:tr>
    </w:tbl>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3.11供应商保证系统设备通过每年的计量检定以及配合采购单位做好对系统的质量控制。供应商负责在有资质的实验室配制并定期更换水站仪表所需试剂、标准溶液。</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3.12供应商工作人员的安全责任及交通食宿等开支由供应商承担。</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3.13在运行维护期间，如遇采购单位对水质自动监测站更换或新增仪器，供应商配合新仪器的安装、调试及运行维护等工作，包括将数据无缝对接到采购单位指定的管理平台中。（如新购仪器合同明确仪器的服务方除外）。</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3.14供应商须保障取水口、站房内外实现全方位监控，确保对站房内外仪器、进出入人员实现24小时不间断监控，实时获取监控区域内清晰的监控图像，支持前端存储和中心存储两种模式，存储周期不低于30天。高清摄像头不得低于200万像素，保障视频监控系统正常运行，并做好视频接入指定平台保障工作，如无法满足日常监控的需求，需要供应商根据实际情况自行更新。</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3.15供应商在成交后3个月内结合现场实际情况，制定并实施“一站一册”技术方案，选择合适的预处理条件，以及仪器、系统关键参数，确保监测数据的“准确性”和“代表性”。通过现场调查研究，不断完善水站运行维护档案。</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3.16水站因故申请停运期间，或自动监测数据因高浊度、高盐度等其它外部因素干扰不具备代表性、不满足水质评价需求时，供应商应根据相关规范要求进行补测，并保证补测流程的规范性、质控措施的完整性以及补测数据的可溯源性。</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3.17供应商须做好站点运行维护记录的规范上报。认真、及时做好水站运行维护记录，并上传至苏州市环境质量自动监测监控系统，进行仪器、系统各项关键信息备案，以及运行维护过程中相关数据和佐证材料的上传，并根据数据审核有关要求按时完成水站数据审核、异常数据核实等工作。</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3.18供应商负责站房、栈桥及相关附属设施的维修、维护工作。每年对站房进行一次全面检查，对站房外围进行整修和粉刷，保证墙面整洁、站房安全；每年对取水设施进行一次修缮，确保水样取水的代表性；每年对防雷设施进行一次全面检测，并提供检测报告；对站房的门禁、灭火设施进行安装和维护；对站房门禁、灭火器、标志牌、LOGO等附属设施进行安装和维护。至少每季度开展对水站科普建设内容开展全面检查，对损坏部分进行修复处理，保障文化建设内容完好，并配合采购单位开展科普宣传活动。</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3.19当涉及站点迁移的，服务单位应做好迁移前后监测仪器设备检查工作并做好相关记录。</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3.20供应商应根据采购单位的要求和行业技术的发展，免费提供系统监控软件和通讯软件的维护和改进工作。</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3.21供应商需负责3个水质自动监测系统各托管运行维护部分非自然灾害（火灾、雷击等）、非战争等外部因素引起的采水、预处理、检测、数据传输与系统控制等设备设施的维护、维修工作（含基础设施）。</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3.22由供应商全权负责系统及托管设备和仪器的维护、维修和部件更换（包括空调设备、纯水系统等附属设施），同样包括由于外部原因意外丢失和供应商的工作人员操作不当、违反规程等造成的故障维修费用，需将维修费用计算在托管服务报价中。由于自然灾害、战争造成的设备损坏除外。</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3.23每月需出具1份运维服务报告，每半年需出具1份半年度服务总结报告，即全年需出具12份运维服务报告和2份半年度服务总结报告。</w:t>
      </w:r>
      <w:r/>
    </w:p>
    <w:p>
      <w:pPr>
        <w:pStyle w:val="956"/>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4、质量保证与质量控制</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4.1供应商需建立质量保证体系，制定并完善运行维护管理制度、运行维护作业指导书及质控程序文件等，指导和规范服务人员现场操作流程。</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4.2供应商编写质控报告并按时提交采购单位，包含但不限于日质控、周核查、多点线性核查、集成干预检查、加标回收测试、实际水样比对等质控措施开展情况，以及采购单位安排的其他质控措施完成情况。</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4.3供应商应配合采购单位进行水站质量保证和质量质控工作，并随时接受采购单位的工作考核及质量考核。</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4.4供应商需建立备机和备品备件库。备机需通过验收并定期开展标准溶液核查；备品备件需达到或高于原厂备件的性能；更换备机或关键零部件后，需及时校准仪器，并完成多点线性核查。</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4.5水站使用试剂的纯度需分析纯（AR）以上，标准溶液的试剂纯度应在优级纯（GR）以上。日常质控、核查工作应使用有证标准物质。供应商应建立试剂管理制度和台账，水站运行维护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4.6监测仪器斜率k、截距b、消解温度、消解时间、显色时间、修正系数等关键参数信息需及时告知采购单位纸质备案，变更时需提交书面申请。</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4.7水站常规五参数须完成每周标准溶液核查和每月实际水样比对；高锰酸盐指数、氨氮、总磷、总氮须完成标准溶液核查、漂移测试、多点线性核查、集成干预检查、实际水样比对、加标回收试验、盲样考核等质控措施，总磷、总氮还须完成消解率测试；叶绿素a、藻密度须完成多点线性核查、实际水样比对。</w:t>
      </w:r>
      <w:r/>
    </w:p>
    <w:p>
      <w:pPr>
        <w:pStyle w:val="956"/>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4.8质控措施频次和技术要求须满足表4、表5、表6、表7。</w:t>
      </w:r>
      <w:r/>
    </w:p>
    <w:p>
      <w:pPr>
        <w:pStyle w:val="956"/>
        <w:ind w:firstLine="482"/>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表</w:t>
      </w:r>
      <w:r>
        <w:rPr>
          <w:rFonts w:ascii="宋体" w:hAnsi="宋体" w:eastAsia="宋体" w:cs="宋体"/>
          <w:b/>
          <w:bCs/>
          <w:sz w:val="24"/>
          <w:szCs w:val="24"/>
          <w:highlight w:val="none"/>
        </w:rPr>
        <w:t xml:space="preserve">4  </w:t>
      </w:r>
      <w:r>
        <w:rPr>
          <w:rFonts w:hint="eastAsia" w:ascii="宋体" w:hAnsi="宋体" w:eastAsia="宋体" w:cs="宋体"/>
          <w:b/>
          <w:bCs/>
          <w:sz w:val="24"/>
          <w:szCs w:val="24"/>
          <w:highlight w:val="none"/>
        </w:rPr>
        <w:t xml:space="preserve">常规五参数质量控制措施实施频次和技术要求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1535"/>
        <w:gridCol w:w="2496"/>
        <w:gridCol w:w="1701"/>
        <w:gridCol w:w="2103"/>
      </w:tblGrid>
      <w:tr>
        <w:trPr>
          <w:jc w:val="center"/>
          <w:trHeight w:val="449"/>
        </w:trPr>
        <w:tc>
          <w:tcPr>
            <w:tcW w:w="1631"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质控措施</w:t>
            </w:r>
            <w:r/>
          </w:p>
        </w:tc>
        <w:tc>
          <w:tcPr>
            <w:tcW w:w="1535"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监测项目</w:t>
            </w:r>
            <w:r/>
          </w:p>
        </w:tc>
        <w:tc>
          <w:tcPr>
            <w:gridSpan w:val="2"/>
            <w:tcW w:w="4197"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技术要求</w:t>
            </w:r>
            <w:r/>
          </w:p>
        </w:tc>
        <w:tc>
          <w:tcPr>
            <w:tcW w:w="2103"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实施频次</w:t>
            </w:r>
            <w:r/>
          </w:p>
        </w:tc>
      </w:tr>
      <w:tr>
        <w:trPr>
          <w:jc w:val="center"/>
        </w:trPr>
        <w:tc>
          <w:tcPr>
            <w:tcW w:w="1631"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标准溶液核查</w:t>
            </w:r>
            <w:r/>
          </w:p>
        </w:tc>
        <w:tc>
          <w:tcPr>
            <w:tcW w:w="1535"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水温</w:t>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c>
          <w:tcPr>
            <w:tcW w:w="2103"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每周</w:t>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pH值</w:t>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0.15</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溶解氧</w:t>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0.3 mg/L</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电导率</w:t>
            </w:r>
            <w:r/>
          </w:p>
        </w:tc>
        <w:tc>
          <w:tcPr>
            <w:tcW w:w="249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标准溶液值</w:t>
            </w:r>
            <w:r>
              <w:rPr>
                <w:rFonts w:hint="eastAsia" w:ascii="宋体" w:hAnsi="宋体" w:eastAsia="宋体" w:cs="宋体"/>
                <w:sz w:val="18"/>
                <w:szCs w:val="18"/>
                <w:highlight w:val="none"/>
              </w:rPr>
              <w:t xml:space="preserve">＞</w:t>
            </w:r>
            <w:r>
              <w:rPr>
                <w:rFonts w:ascii="宋体" w:hAnsi="宋体" w:eastAsia="宋体" w:cs="宋体"/>
                <w:bCs/>
                <w:sz w:val="18"/>
                <w:szCs w:val="18"/>
                <w:highlight w:val="none"/>
                <w:lang w:val="zh-CN"/>
              </w:rPr>
              <w:t xml:space="preserve">100</w:t>
            </w:r>
            <w:r>
              <w:rPr>
                <w:rFonts w:ascii="宋体" w:hAnsi="宋体" w:eastAsia="宋体" w:cs="宋体"/>
                <w:bCs/>
                <w:sz w:val="18"/>
                <w:szCs w:val="18"/>
                <w:highlight w:val="none"/>
              </w:rPr>
              <w:t xml:space="preserve"> </w:t>
            </w:r>
            <w:r>
              <w:rPr>
                <w:rFonts w:hint="eastAsia" w:ascii="宋体" w:hAnsi="宋体" w:eastAsia="宋体" w:cs="宋体"/>
                <w:bCs/>
                <w:sz w:val="18"/>
                <w:szCs w:val="18"/>
                <w:highlight w:val="none"/>
                <w:lang w:val="zh-CN"/>
              </w:rPr>
              <w:t xml:space="preserve">μ</w:t>
            </w:r>
            <w:r>
              <w:rPr>
                <w:rFonts w:ascii="宋体" w:hAnsi="宋体" w:eastAsia="宋体" w:cs="宋体"/>
                <w:bCs/>
                <w:sz w:val="18"/>
                <w:szCs w:val="18"/>
                <w:highlight w:val="none"/>
                <w:lang w:val="zh-CN"/>
              </w:rPr>
              <w:t xml:space="preserve">S/cm</w:t>
            </w:r>
            <w:r/>
          </w:p>
        </w:tc>
        <w:tc>
          <w:tcPr>
            <w:tcW w:w="170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 </w:t>
            </w: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5%</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标准溶液值≤</w:t>
            </w:r>
            <w:r>
              <w:rPr>
                <w:rFonts w:ascii="宋体" w:hAnsi="宋体" w:eastAsia="宋体" w:cs="宋体"/>
                <w:bCs/>
                <w:sz w:val="18"/>
                <w:szCs w:val="18"/>
                <w:highlight w:val="none"/>
                <w:lang w:val="zh-CN"/>
              </w:rPr>
              <w:t xml:space="preserve">100</w:t>
            </w:r>
            <w:r>
              <w:rPr>
                <w:rFonts w:ascii="宋体" w:hAnsi="宋体" w:eastAsia="宋体" w:cs="宋体"/>
                <w:bCs/>
                <w:sz w:val="18"/>
                <w:szCs w:val="18"/>
                <w:highlight w:val="none"/>
              </w:rPr>
              <w:t xml:space="preserve"> </w:t>
            </w:r>
            <w:r>
              <w:rPr>
                <w:rFonts w:hint="eastAsia" w:ascii="宋体" w:hAnsi="宋体" w:eastAsia="宋体" w:cs="宋体"/>
                <w:bCs/>
                <w:sz w:val="18"/>
                <w:szCs w:val="18"/>
                <w:highlight w:val="none"/>
                <w:lang w:val="zh-CN"/>
              </w:rPr>
              <w:t xml:space="preserve">μ</w:t>
            </w:r>
            <w:r>
              <w:rPr>
                <w:rFonts w:ascii="宋体" w:hAnsi="宋体" w:eastAsia="宋体" w:cs="宋体"/>
                <w:bCs/>
                <w:sz w:val="18"/>
                <w:szCs w:val="18"/>
                <w:highlight w:val="none"/>
                <w:lang w:val="zh-CN"/>
              </w:rPr>
              <w:t xml:space="preserve">S/cm</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5</w:t>
            </w:r>
            <w:r>
              <w:rPr>
                <w:rFonts w:ascii="宋体" w:hAnsi="宋体" w:eastAsia="宋体" w:cs="宋体"/>
                <w:bCs/>
                <w:sz w:val="18"/>
                <w:szCs w:val="18"/>
                <w:highlight w:val="none"/>
              </w:rPr>
              <w:t xml:space="preserve"> </w:t>
            </w:r>
            <w:r>
              <w:rPr>
                <w:rFonts w:hint="eastAsia" w:ascii="宋体" w:hAnsi="宋体" w:eastAsia="宋体" w:cs="宋体"/>
                <w:bCs/>
                <w:sz w:val="18"/>
                <w:szCs w:val="18"/>
                <w:highlight w:val="none"/>
                <w:lang w:val="zh-CN"/>
              </w:rPr>
              <w:t xml:space="preserve">μ</w:t>
            </w:r>
            <w:r>
              <w:rPr>
                <w:rFonts w:ascii="宋体" w:hAnsi="宋体" w:eastAsia="宋体" w:cs="宋体"/>
                <w:bCs/>
                <w:sz w:val="18"/>
                <w:szCs w:val="18"/>
                <w:highlight w:val="none"/>
                <w:lang w:val="zh-CN"/>
              </w:rPr>
              <w:t xml:space="preserve">S/cm</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浊度</w:t>
            </w:r>
            <w:r/>
          </w:p>
        </w:tc>
        <w:tc>
          <w:tcPr>
            <w:tcW w:w="249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浊度≤</w:t>
            </w:r>
            <w:r>
              <w:rPr>
                <w:rFonts w:ascii="宋体" w:hAnsi="宋体" w:eastAsia="宋体" w:cs="宋体"/>
                <w:sz w:val="18"/>
                <w:szCs w:val="18"/>
                <w:highlight w:val="none"/>
              </w:rPr>
              <w:t xml:space="preserve">30 NTU</w:t>
            </w:r>
            <w:r/>
          </w:p>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浊度≥</w:t>
            </w:r>
            <w:r>
              <w:rPr>
                <w:rFonts w:ascii="宋体" w:hAnsi="宋体" w:eastAsia="宋体" w:cs="宋体"/>
                <w:sz w:val="18"/>
                <w:szCs w:val="18"/>
                <w:highlight w:val="none"/>
              </w:rPr>
              <w:t xml:space="preserve">1000 NTU</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不考核</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6"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30 NTU＜浊度≤50 NTU</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15%</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6"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50 NTU＜浊度＜1000 NTU</w:t>
            </w:r>
            <w:r/>
          </w:p>
        </w:tc>
        <w:tc>
          <w:tcPr>
            <w:tcW w:w="1701"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bCs/>
                <w:sz w:val="18"/>
                <w:szCs w:val="18"/>
                <w:highlight w:val="none"/>
                <w:lang w:val="zh-CN"/>
              </w:rPr>
              <w:t xml:space="preserve"> ±10%</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实际水样比对</w:t>
            </w:r>
            <w:r/>
          </w:p>
        </w:tc>
        <w:tc>
          <w:tcPr>
            <w:tcW w:w="1535"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水温</w:t>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0.5 </w:t>
            </w:r>
            <w:r>
              <w:rPr>
                <w:rFonts w:hint="eastAsia" w:ascii="宋体" w:hAnsi="宋体" w:eastAsia="宋体" w:cs="宋体"/>
                <w:sz w:val="18"/>
                <w:szCs w:val="18"/>
                <w:highlight w:val="none"/>
                <w:lang w:eastAsia="ja-JP"/>
              </w:rPr>
              <w:t xml:space="preserve">℃</w:t>
            </w:r>
            <w:r/>
          </w:p>
        </w:tc>
        <w:tc>
          <w:tcPr>
            <w:tcW w:w="2103"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pH值</w:t>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0.5</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溶解氧</w:t>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0.5 mg/L</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gridSpan w:val="2"/>
            <w:tcW w:w="419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溶解氧过饱和时不考核</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电导率</w:t>
            </w:r>
            <w:r/>
          </w:p>
        </w:tc>
        <w:tc>
          <w:tcPr>
            <w:tcW w:w="249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电导率</w:t>
            </w:r>
            <w:r>
              <w:rPr>
                <w:rFonts w:hint="eastAsia" w:ascii="宋体" w:hAnsi="宋体" w:eastAsia="宋体" w:cs="宋体"/>
                <w:sz w:val="18"/>
                <w:szCs w:val="18"/>
                <w:highlight w:val="none"/>
              </w:rPr>
              <w:t xml:space="preserve">＞</w:t>
            </w:r>
            <w:r>
              <w:rPr>
                <w:rFonts w:ascii="宋体" w:hAnsi="宋体" w:eastAsia="宋体" w:cs="宋体"/>
                <w:bCs/>
                <w:sz w:val="18"/>
                <w:szCs w:val="18"/>
                <w:highlight w:val="none"/>
                <w:lang w:val="zh-CN"/>
              </w:rPr>
              <w:t xml:space="preserve">100 </w:t>
            </w:r>
            <w:r>
              <w:rPr>
                <w:rFonts w:hint="eastAsia" w:ascii="宋体" w:hAnsi="宋体" w:eastAsia="宋体" w:cs="宋体"/>
                <w:bCs/>
                <w:sz w:val="18"/>
                <w:szCs w:val="18"/>
                <w:highlight w:val="none"/>
                <w:lang w:val="zh-CN"/>
              </w:rPr>
              <w:t xml:space="preserve">μ</w:t>
            </w:r>
            <w:r>
              <w:rPr>
                <w:rFonts w:ascii="宋体" w:hAnsi="宋体" w:eastAsia="宋体" w:cs="宋体"/>
                <w:bCs/>
                <w:sz w:val="18"/>
                <w:szCs w:val="18"/>
                <w:highlight w:val="none"/>
                <w:lang w:val="zh-CN"/>
              </w:rPr>
              <w:t xml:space="preserve">S/cm</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10%</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电导率≤</w:t>
            </w:r>
            <w:r>
              <w:rPr>
                <w:rFonts w:ascii="宋体" w:hAnsi="宋体" w:eastAsia="宋体" w:cs="宋体"/>
                <w:bCs/>
                <w:sz w:val="18"/>
                <w:szCs w:val="18"/>
                <w:highlight w:val="none"/>
                <w:lang w:val="zh-CN"/>
              </w:rPr>
              <w:t xml:space="preserve"> 100</w:t>
            </w:r>
            <w:r>
              <w:rPr>
                <w:rFonts w:ascii="宋体" w:hAnsi="宋体" w:eastAsia="宋体" w:cs="宋体"/>
                <w:bCs/>
                <w:sz w:val="18"/>
                <w:szCs w:val="18"/>
                <w:highlight w:val="none"/>
              </w:rPr>
              <w:t xml:space="preserve"> </w:t>
            </w:r>
            <w:r>
              <w:rPr>
                <w:rFonts w:hint="eastAsia" w:ascii="宋体" w:hAnsi="宋体" w:eastAsia="宋体" w:cs="宋体"/>
                <w:bCs/>
                <w:sz w:val="18"/>
                <w:szCs w:val="18"/>
                <w:highlight w:val="none"/>
                <w:lang w:val="zh-CN"/>
              </w:rPr>
              <w:t xml:space="preserve">μ</w:t>
            </w:r>
            <w:r>
              <w:rPr>
                <w:rFonts w:ascii="宋体" w:hAnsi="宋体" w:eastAsia="宋体" w:cs="宋体"/>
                <w:bCs/>
                <w:sz w:val="18"/>
                <w:szCs w:val="18"/>
                <w:highlight w:val="none"/>
                <w:lang w:val="zh-CN"/>
              </w:rPr>
              <w:t xml:space="preserve">S/cm</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10</w:t>
            </w:r>
            <w:r>
              <w:rPr>
                <w:rFonts w:ascii="宋体" w:hAnsi="宋体" w:eastAsia="宋体" w:cs="宋体"/>
                <w:bCs/>
                <w:sz w:val="18"/>
                <w:szCs w:val="18"/>
                <w:highlight w:val="none"/>
              </w:rPr>
              <w:t xml:space="preserve"> </w:t>
            </w:r>
            <w:r>
              <w:rPr>
                <w:rFonts w:hint="eastAsia" w:ascii="宋体" w:hAnsi="宋体" w:eastAsia="宋体" w:cs="宋体"/>
                <w:bCs/>
                <w:sz w:val="18"/>
                <w:szCs w:val="18"/>
                <w:highlight w:val="none"/>
                <w:lang w:val="zh-CN"/>
              </w:rPr>
              <w:t xml:space="preserve">μ</w:t>
            </w:r>
            <w:r>
              <w:rPr>
                <w:rFonts w:ascii="宋体" w:hAnsi="宋体" w:eastAsia="宋体" w:cs="宋体"/>
                <w:bCs/>
                <w:sz w:val="18"/>
                <w:szCs w:val="18"/>
                <w:highlight w:val="none"/>
                <w:lang w:val="zh-CN"/>
              </w:rPr>
              <w:t xml:space="preserve">S/cm</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浊度</w:t>
            </w:r>
            <w:r/>
          </w:p>
        </w:tc>
        <w:tc>
          <w:tcPr>
            <w:tcW w:w="249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浊度</w:t>
            </w: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30 NTU</w:t>
            </w:r>
            <w:r/>
          </w:p>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浊度</w:t>
            </w: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1000 NTU</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不考核</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6"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30 NTU＜</w:t>
            </w:r>
            <w:r>
              <w:rPr>
                <w:rFonts w:hint="eastAsia" w:ascii="宋体" w:hAnsi="宋体" w:eastAsia="宋体" w:cs="宋体"/>
                <w:bCs/>
                <w:sz w:val="18"/>
                <w:szCs w:val="18"/>
                <w:highlight w:val="none"/>
                <w:lang w:val="zh-CN"/>
              </w:rPr>
              <w:t xml:space="preserve">浊度</w:t>
            </w: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50 NTU</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30%</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631"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535"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6"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50 NTU＜浊度＜1000 NTU</w:t>
            </w:r>
            <w:r/>
          </w:p>
        </w:tc>
        <w:tc>
          <w:tcPr>
            <w:tcW w:w="170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lang w:val="zh-CN"/>
              </w:rPr>
              <w:t xml:space="preserve">±</w:t>
            </w:r>
            <w:r>
              <w:rPr>
                <w:rFonts w:ascii="宋体" w:hAnsi="宋体" w:eastAsia="宋体" w:cs="宋体"/>
                <w:bCs/>
                <w:sz w:val="18"/>
                <w:szCs w:val="18"/>
                <w:highlight w:val="none"/>
                <w:lang w:val="zh-CN"/>
              </w:rPr>
              <w:t xml:space="preserve">20%</w:t>
            </w:r>
            <w:r/>
          </w:p>
        </w:tc>
        <w:tc>
          <w:tcPr>
            <w:tcW w:w="210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bl>
    <w:p>
      <w:pPr>
        <w:pStyle w:val="956"/>
        <w:ind w:firstLine="0"/>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56"/>
        <w:ind w:firstLine="0"/>
        <w:jc w:val="center"/>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b/>
          <w:bCs/>
          <w:sz w:val="24"/>
          <w:szCs w:val="24"/>
          <w:highlight w:val="none"/>
        </w:rPr>
        <w:t xml:space="preserve">表</w:t>
      </w:r>
      <w:r>
        <w:rPr>
          <w:rFonts w:ascii="宋体" w:hAnsi="宋体" w:eastAsia="宋体" w:cs="宋体"/>
          <w:b/>
          <w:bCs/>
          <w:sz w:val="24"/>
          <w:szCs w:val="24"/>
          <w:highlight w:val="none"/>
        </w:rPr>
        <w:t xml:space="preserve">5  </w:t>
      </w:r>
      <w:r>
        <w:rPr>
          <w:rFonts w:hint="eastAsia" w:ascii="宋体" w:hAnsi="宋体" w:eastAsia="宋体" w:cs="宋体"/>
          <w:b/>
          <w:bCs/>
          <w:sz w:val="24"/>
          <w:szCs w:val="24"/>
          <w:highlight w:val="none"/>
        </w:rPr>
        <w:t xml:space="preserve">高锰酸盐指数、氨氮、总磷、总氮质量控制措施实施频次和技术要求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1240"/>
        <w:gridCol w:w="1313"/>
        <w:gridCol w:w="851"/>
        <w:gridCol w:w="1417"/>
        <w:gridCol w:w="2492"/>
      </w:tblGrid>
      <w:tr>
        <w:trPr>
          <w:jc w:val="center"/>
          <w:tblHeader/>
        </w:trPr>
        <w:tc>
          <w:tcPr>
            <w:tcW w:w="1830"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质控措施</w:t>
            </w:r>
            <w:r/>
          </w:p>
        </w:tc>
        <w:tc>
          <w:tcPr>
            <w:gridSpan w:val="3"/>
            <w:tcW w:w="3404"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技术要求</w:t>
            </w:r>
            <w:r/>
          </w:p>
        </w:tc>
        <w:tc>
          <w:tcPr>
            <w:tcW w:w="1417"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实施频次</w:t>
            </w:r>
            <w:r/>
          </w:p>
        </w:tc>
        <w:tc>
          <w:tcPr>
            <w:tcW w:w="2492"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备注</w:t>
            </w:r>
            <w:r/>
          </w:p>
        </w:tc>
      </w:tr>
      <w:tr>
        <w:trPr>
          <w:jc w:val="center"/>
          <w:trHeight w:val="462"/>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标准溶液核查</w:t>
            </w:r>
            <w:r/>
          </w:p>
        </w:tc>
        <w:tc>
          <w:tcPr>
            <w:tcW w:w="1240"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零点核查</w:t>
            </w:r>
            <w:r/>
          </w:p>
        </w:tc>
        <w:tc>
          <w:tcPr>
            <w:tcW w:w="1313"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相对误差</w:t>
            </w:r>
            <w:r/>
          </w:p>
        </w:tc>
        <w:tc>
          <w:tcPr>
            <w:tcW w:w="85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100%</w:t>
            </w:r>
            <w:r/>
          </w:p>
        </w:tc>
        <w:tc>
          <w:tcPr>
            <w:tcW w:w="141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每日</w:t>
            </w:r>
            <w:r/>
          </w:p>
        </w:tc>
        <w:tc>
          <w:tcPr>
            <w:tcW w:w="24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423"/>
        </w:trPr>
        <w:tc>
          <w:tcPr>
            <w:tcW w:w="1830"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跨度核查</w:t>
            </w:r>
            <w:r/>
          </w:p>
        </w:tc>
        <w:tc>
          <w:tcPr>
            <w:tcW w:w="131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85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10%</w:t>
            </w:r>
            <w:r/>
          </w:p>
        </w:tc>
        <w:tc>
          <w:tcPr>
            <w:tcW w:w="141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每日</w:t>
            </w:r>
            <w:r/>
          </w:p>
        </w:tc>
        <w:tc>
          <w:tcPr>
            <w:tcW w:w="24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423"/>
        </w:trPr>
        <w:tc>
          <w:tcPr>
            <w:tcW w:w="1830"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gridSpan w:val="5"/>
            <w:tcW w:w="7313"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注：具备自动质控功能的设备每日开展，无日质控功能的设备每周开展。</w:t>
            </w:r>
            <w:r/>
          </w:p>
        </w:tc>
      </w:tr>
      <w:tr>
        <w:trPr>
          <w:jc w:val="center"/>
          <w:trHeight w:val="601"/>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漂移测试</w:t>
            </w:r>
            <w:r/>
          </w:p>
        </w:tc>
        <w:tc>
          <w:tcPr>
            <w:tcW w:w="1240"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零点漂移</w:t>
            </w:r>
            <w:r/>
          </w:p>
        </w:tc>
        <w:tc>
          <w:tcPr>
            <w:tcW w:w="1313"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相对误差</w:t>
            </w:r>
            <w:r/>
          </w:p>
        </w:tc>
        <w:tc>
          <w:tcPr>
            <w:tcW w:w="85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5%</w:t>
            </w:r>
            <w:r/>
          </w:p>
        </w:tc>
        <w:tc>
          <w:tcPr>
            <w:tcW w:w="141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每日</w:t>
            </w:r>
            <w:r/>
          </w:p>
        </w:tc>
        <w:tc>
          <w:tcPr>
            <w:tcW w:w="24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高锰酸盐指数为±</w:t>
            </w:r>
            <w:r>
              <w:rPr>
                <w:rFonts w:ascii="宋体" w:hAnsi="宋体" w:eastAsia="宋体" w:cs="宋体"/>
                <w:sz w:val="18"/>
                <w:szCs w:val="18"/>
                <w:highlight w:val="none"/>
              </w:rPr>
              <w:t xml:space="preserve">10%</w:t>
            </w:r>
            <w:r/>
          </w:p>
        </w:tc>
      </w:tr>
      <w:tr>
        <w:trPr>
          <w:jc w:val="center"/>
          <w:trHeight w:val="377"/>
        </w:trPr>
        <w:tc>
          <w:tcPr>
            <w:tcW w:w="1830"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跨度漂移</w:t>
            </w:r>
            <w:r/>
          </w:p>
        </w:tc>
        <w:tc>
          <w:tcPr>
            <w:tcW w:w="1313"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851"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10%</w:t>
            </w:r>
            <w:r/>
          </w:p>
        </w:tc>
        <w:tc>
          <w:tcPr>
            <w:tcW w:w="141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每日</w:t>
            </w:r>
            <w:r/>
          </w:p>
        </w:tc>
        <w:tc>
          <w:tcPr>
            <w:tcW w:w="24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377"/>
        </w:trPr>
        <w:tc>
          <w:tcPr>
            <w:tcW w:w="1830"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gridSpan w:val="5"/>
            <w:tcW w:w="7313"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注：仅具备自动质控功能的设备开展。</w:t>
            </w:r>
            <w:r/>
          </w:p>
        </w:tc>
      </w:tr>
      <w:tr>
        <w:trPr>
          <w:jc w:val="center"/>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多点线性核查</w:t>
            </w:r>
            <w:r/>
          </w:p>
        </w:tc>
        <w:tc>
          <w:tcPr>
            <w:tcW w:w="1240"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线性相关系数</w:t>
            </w:r>
            <w:r>
              <w:rPr>
                <w:rFonts w:ascii="宋体" w:hAnsi="宋体" w:eastAsia="宋体" w:cs="宋体"/>
                <w:i/>
                <w:iCs/>
                <w:sz w:val="18"/>
                <w:szCs w:val="18"/>
                <w:highlight w:val="none"/>
              </w:rPr>
              <w:t xml:space="preserve">r</w:t>
            </w:r>
            <w:r/>
          </w:p>
        </w:tc>
        <w:tc>
          <w:tcPr>
            <w:gridSpan w:val="2"/>
            <w:tcW w:w="2164"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0.98</w:t>
            </w:r>
            <w:r/>
          </w:p>
        </w:tc>
        <w:tc>
          <w:tcPr>
            <w:tcW w:w="1417"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c>
          <w:tcPr>
            <w:tcW w:w="2492" w:type="dxa"/>
            <w:vAlign w:val="center"/>
            <w:vMerge w:val="restart"/>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563"/>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示值误差</w:t>
            </w:r>
            <w:r/>
          </w:p>
        </w:tc>
        <w:tc>
          <w:tcPr>
            <w:gridSpan w:val="2"/>
            <w:tcW w:w="2164"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10%</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多点线性中的零点示值误差参照零点核查要求</w:t>
            </w:r>
            <w:r/>
          </w:p>
        </w:tc>
      </w:tr>
      <w:tr>
        <w:trPr>
          <w:jc w:val="center"/>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集成干预检查</w:t>
            </w:r>
            <w:r/>
          </w:p>
        </w:tc>
        <w:tc>
          <w:tcPr>
            <w:tcW w:w="1240" w:type="dxa"/>
            <w:vAlign w:val="center"/>
            <w:vMerge w:val="restart"/>
            <w:textDirection w:val="lrTb"/>
            <w:noWrap w:val="false"/>
          </w:tcPr>
          <w:p>
            <w:pPr>
              <w:rPr>
                <w:rFonts w:ascii="宋体" w:hAnsi="宋体" w:eastAsia="宋体" w:cs="宋体"/>
                <w:sz w:val="18"/>
                <w:szCs w:val="18"/>
                <w:highlight w:val="none"/>
              </w:rPr>
            </w:pPr>
            <w:r>
              <w:rPr>
                <w:rFonts w:hint="eastAsia" w:ascii="宋体" w:hAnsi="宋体" w:eastAsia="宋体" w:cs="宋体"/>
                <w:bCs/>
                <w:sz w:val="18"/>
                <w:szCs w:val="18"/>
                <w:highlight w:val="none"/>
              </w:rPr>
              <w:t xml:space="preserve">相对误差</w:t>
            </w:r>
            <w:r/>
          </w:p>
        </w:tc>
        <w:tc>
          <w:tcPr>
            <w:gridSpan w:val="2"/>
            <w:tcW w:w="2164"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rPr>
              <w:t xml:space="preserve">Ⅰ～Ⅱ类：两者结果均低于</w:t>
            </w:r>
            <w:r>
              <w:rPr>
                <w:rFonts w:ascii="宋体" w:hAnsi="宋体" w:eastAsia="宋体" w:cs="宋体"/>
                <w:bCs/>
                <w:sz w:val="18"/>
                <w:szCs w:val="18"/>
                <w:highlight w:val="none"/>
              </w:rPr>
              <w:t xml:space="preserve">BⅡ时，判定结果合格。</w:t>
            </w:r>
            <w:r/>
          </w:p>
        </w:tc>
        <w:tc>
          <w:tcPr>
            <w:tcW w:w="1417"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c>
          <w:tcPr>
            <w:tcW w:w="2492" w:type="dxa"/>
            <w:vAlign w:val="center"/>
            <w:vMerge w:val="restart"/>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gridSpan w:val="2"/>
            <w:tcW w:w="2164"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rPr>
              <w:t xml:space="preserve">Ⅲ～劣Ⅴ类：±</w:t>
            </w:r>
            <w:r>
              <w:rPr>
                <w:rFonts w:ascii="宋体" w:hAnsi="宋体" w:eastAsia="宋体" w:cs="宋体"/>
                <w:bCs/>
                <w:sz w:val="18"/>
                <w:szCs w:val="18"/>
                <w:highlight w:val="none"/>
              </w:rPr>
              <w:t xml:space="preserve">10%</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实际水样比对</w:t>
            </w:r>
            <w:r/>
          </w:p>
        </w:tc>
        <w:tc>
          <w:tcPr>
            <w:tcW w:w="1240" w:type="dxa"/>
            <w:vAlign w:val="center"/>
            <w:vMerge w:val="restart"/>
            <w:textDirection w:val="lrTb"/>
            <w:noWrap w:val="false"/>
          </w:tcPr>
          <w:p>
            <w:pPr>
              <w:rPr>
                <w:rFonts w:ascii="宋体" w:hAnsi="宋体" w:eastAsia="宋体" w:cs="宋体"/>
                <w:bCs/>
                <w:sz w:val="18"/>
                <w:szCs w:val="18"/>
                <w:highlight w:val="none"/>
              </w:rPr>
            </w:pPr>
            <w:r>
              <w:rPr>
                <w:rFonts w:hint="eastAsia" w:ascii="宋体" w:hAnsi="宋体" w:eastAsia="宋体" w:cs="宋体"/>
                <w:sz w:val="18"/>
                <w:szCs w:val="18"/>
                <w:highlight w:val="none"/>
                <w:shd w:val="clear" w:color="auto" w:fill="ffffff"/>
              </w:rPr>
              <w:t xml:space="preserve">相对误差</w:t>
            </w:r>
            <w:r/>
          </w:p>
        </w:tc>
        <w:tc>
          <w:tcPr>
            <w:gridSpan w:val="2"/>
            <w:tcW w:w="2164" w:type="dxa"/>
            <w:vAlign w:val="center"/>
            <w:textDirection w:val="lrTb"/>
            <w:noWrap w:val="false"/>
          </w:tcPr>
          <w:p>
            <w:pPr>
              <w:jc w:val="center"/>
              <w:rPr>
                <w:rFonts w:ascii="宋体" w:hAnsi="宋体" w:eastAsia="宋体" w:cs="宋体"/>
                <w:bCs/>
                <w:sz w:val="18"/>
                <w:szCs w:val="18"/>
                <w:highlight w:val="none"/>
              </w:rPr>
            </w:pPr>
            <w:r>
              <w:rPr>
                <w:rFonts w:ascii="宋体" w:hAnsi="宋体" w:eastAsia="宋体" w:cs="宋体"/>
                <w:position w:val="-6"/>
                <w:sz w:val="18"/>
                <w:szCs w:val="18"/>
                <w:highlight w:val="none"/>
                <w:shd w:val="clear" w:color="auto" w:fill="ffffff"/>
              </w:rPr>
              <mc:AlternateContent>
                <mc:Choice Requires="wpg">
                  <w:drawing>
                    <wp:inline xmlns:wp="http://schemas.openxmlformats.org/drawingml/2006/wordprocessingDrawing" distT="0" distB="0" distL="0" distR="0">
                      <wp:extent cx="524510" cy="142875"/>
                      <wp:effectExtent l="0" t="0" r="0" b="10160"/>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
                              <pic:cNvPicPr>
                                <a:picLocks noChangeAspect="1"/>
                              </pic:cNvPicPr>
                              <pic:nvPr/>
                            </pic:nvPicPr>
                            <pic:blipFill>
                              <a:blip r:embed="rId17"/>
                              <a:stretch/>
                            </pic:blipFill>
                            <pic:spPr bwMode="auto">
                              <a:xfrm>
                                <a:off x="0" y="0"/>
                                <a:ext cx="524510"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3pt;height:11.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Cs/>
                <w:sz w:val="18"/>
                <w:szCs w:val="18"/>
                <w:highlight w:val="none"/>
              </w:rPr>
              <w:t xml:space="preserve">：</w:t>
            </w:r>
            <w:r>
              <w:rPr>
                <w:rFonts w:hint="eastAsia" w:ascii="宋体" w:hAnsi="宋体" w:eastAsia="宋体" w:cs="宋体"/>
                <w:sz w:val="18"/>
                <w:szCs w:val="18"/>
                <w:highlight w:val="none"/>
              </w:rPr>
              <w:t xml:space="preserve">±</w:t>
            </w:r>
            <w:r>
              <w:rPr>
                <w:rFonts w:ascii="宋体" w:hAnsi="宋体" w:eastAsia="宋体" w:cs="宋体"/>
                <w:bCs/>
                <w:sz w:val="18"/>
                <w:szCs w:val="18"/>
                <w:highlight w:val="none"/>
              </w:rPr>
              <w:t xml:space="preserve">20%</w:t>
            </w:r>
            <w:r/>
          </w:p>
        </w:tc>
        <w:tc>
          <w:tcPr>
            <w:tcW w:w="1417"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c>
          <w:tcPr>
            <w:tcW w:w="2492" w:type="dxa"/>
            <w:vAlign w:val="center"/>
            <w:vMerge w:val="restart"/>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gridSpan w:val="2"/>
            <w:tcW w:w="2164" w:type="dxa"/>
            <w:vAlign w:val="center"/>
            <w:textDirection w:val="lrTb"/>
            <w:noWrap w:val="false"/>
          </w:tcPr>
          <w:p>
            <w:pPr>
              <w:jc w:val="center"/>
              <w:rPr>
                <w:rFonts w:ascii="宋体" w:hAnsi="宋体" w:eastAsia="宋体" w:cs="宋体"/>
                <w:bCs/>
                <w:sz w:val="18"/>
                <w:szCs w:val="18"/>
                <w:highlight w:val="none"/>
              </w:rPr>
            </w:pPr>
            <w:r>
              <w:rPr>
                <w:rFonts w:ascii="宋体" w:hAnsi="宋体" w:eastAsia="宋体" w:cs="宋体"/>
                <w:position w:val="-6"/>
                <w:sz w:val="18"/>
                <w:szCs w:val="18"/>
                <w:highlight w:val="none"/>
                <w:shd w:val="clear" w:color="auto" w:fill="ffffff"/>
              </w:rPr>
              <mc:AlternateContent>
                <mc:Choice Requires="wpg">
                  <w:drawing>
                    <wp:inline xmlns:wp="http://schemas.openxmlformats.org/drawingml/2006/wordprocessingDrawing" distT="0" distB="0" distL="0" distR="0">
                      <wp:extent cx="787400" cy="142875"/>
                      <wp:effectExtent l="0" t="0" r="0" b="9525"/>
                      <wp:docPr id="1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pic:cNvPicPr>
                              <pic:nvPr/>
                            </pic:nvPicPr>
                            <pic:blipFill>
                              <a:blip r:embed="rId18"/>
                              <a:stretch/>
                            </pic:blipFill>
                            <pic:spPr bwMode="auto">
                              <a:xfrm>
                                <a:off x="0" y="0"/>
                                <a:ext cx="787400"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2.0pt;height:11.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Cs/>
                <w:sz w:val="18"/>
                <w:szCs w:val="18"/>
                <w:highlight w:val="none"/>
              </w:rPr>
              <w:t xml:space="preserve">：</w:t>
            </w:r>
            <w:r>
              <w:rPr>
                <w:rFonts w:hint="eastAsia" w:ascii="宋体" w:hAnsi="宋体" w:eastAsia="宋体" w:cs="宋体"/>
                <w:sz w:val="18"/>
                <w:szCs w:val="18"/>
                <w:highlight w:val="none"/>
              </w:rPr>
              <w:t xml:space="preserve">±</w:t>
            </w:r>
            <w:r>
              <w:rPr>
                <w:rFonts w:ascii="宋体" w:hAnsi="宋体" w:eastAsia="宋体" w:cs="宋体"/>
                <w:bCs/>
                <w:sz w:val="18"/>
                <w:szCs w:val="18"/>
                <w:highlight w:val="none"/>
              </w:rPr>
              <w:t xml:space="preserve">30%</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gridSpan w:val="2"/>
            <w:tcW w:w="2164" w:type="dxa"/>
            <w:vAlign w:val="center"/>
            <w:textDirection w:val="lrTb"/>
            <w:noWrap w:val="false"/>
          </w:tcPr>
          <w:p>
            <w:pPr>
              <w:jc w:val="center"/>
              <w:rPr>
                <w:rFonts w:ascii="宋体" w:hAnsi="宋体" w:eastAsia="宋体" w:cs="宋体"/>
                <w:bCs/>
                <w:sz w:val="18"/>
                <w:szCs w:val="18"/>
                <w:highlight w:val="none"/>
              </w:rPr>
            </w:pPr>
            <w:r>
              <w:rPr>
                <w:rFonts w:ascii="宋体" w:hAnsi="宋体" w:eastAsia="宋体" w:cs="宋体"/>
                <w:i/>
                <w:position w:val="-10"/>
                <w:sz w:val="18"/>
                <w:szCs w:val="18"/>
                <w:highlight w:val="none"/>
                <w:shd w:val="clear" w:color="auto" w:fill="ffffff"/>
              </w:rPr>
              <mc:AlternateContent>
                <mc:Choice Requires="wpg">
                  <w:drawing>
                    <wp:inline xmlns:wp="http://schemas.openxmlformats.org/drawingml/2006/wordprocessingDrawing" distT="0" distB="0" distL="0" distR="0">
                      <wp:extent cx="429260" cy="191135"/>
                      <wp:effectExtent l="0" t="0" r="2540" b="12065"/>
                      <wp:docPr id="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pic:cNvPicPr>
                                <a:picLocks noChangeAspect="1"/>
                              </pic:cNvPicPr>
                              <pic:nvPr/>
                            </pic:nvPicPr>
                            <pic:blipFill>
                              <a:blip r:embed="rId19"/>
                              <a:stretch/>
                            </pic:blipFill>
                            <pic:spPr bwMode="auto">
                              <a:xfrm>
                                <a:off x="0" y="0"/>
                                <a:ext cx="429260" cy="191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3.8pt;height:15.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Cs/>
                <w:sz w:val="18"/>
                <w:szCs w:val="18"/>
                <w:highlight w:val="none"/>
              </w:rPr>
              <w:t xml:space="preserve">：</w:t>
            </w:r>
            <w:r>
              <w:rPr>
                <w:rFonts w:hint="eastAsia" w:ascii="宋体" w:hAnsi="宋体" w:eastAsia="宋体" w:cs="宋体"/>
                <w:sz w:val="18"/>
                <w:szCs w:val="18"/>
                <w:highlight w:val="none"/>
              </w:rPr>
              <w:t xml:space="preserve">±</w:t>
            </w:r>
            <w:r>
              <w:rPr>
                <w:rFonts w:ascii="宋体" w:hAnsi="宋体" w:eastAsia="宋体" w:cs="宋体"/>
                <w:bCs/>
                <w:sz w:val="18"/>
                <w:szCs w:val="18"/>
                <w:highlight w:val="none"/>
              </w:rPr>
              <w:t xml:space="preserve">40%</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gridSpan w:val="3"/>
            <w:tcW w:w="3404" w:type="dxa"/>
            <w:vAlign w:val="center"/>
            <w:textDirection w:val="lrTb"/>
            <w:noWrap w:val="false"/>
          </w:tcPr>
          <w:p>
            <w:pPr>
              <w:jc w:val="left"/>
              <w:rPr>
                <w:rFonts w:ascii="宋体" w:hAnsi="宋体" w:eastAsia="宋体" w:cs="宋体"/>
                <w:sz w:val="18"/>
                <w:szCs w:val="18"/>
                <w:highlight w:val="none"/>
                <w:shd w:val="clear" w:color="auto" w:fill="ffffff"/>
              </w:rPr>
            </w:pPr>
            <w:r>
              <w:rPr>
                <w:rFonts w:hint="eastAsia" w:ascii="宋体" w:hAnsi="宋体" w:eastAsia="宋体" w:cs="宋体"/>
                <w:sz w:val="18"/>
                <w:szCs w:val="18"/>
                <w:highlight w:val="none"/>
                <w:shd w:val="clear" w:color="auto" w:fill="ffffff"/>
              </w:rPr>
              <w:t xml:space="preserve">当自动监测结果和实验室分析结果均低于</w:t>
            </w:r>
            <w:r>
              <w:rPr>
                <w:rFonts w:ascii="宋体" w:hAnsi="宋体" w:eastAsia="宋体" w:cs="宋体"/>
                <w:i/>
                <w:iCs/>
                <w:sz w:val="18"/>
                <w:szCs w:val="18"/>
                <w:highlight w:val="none"/>
                <w:shd w:val="clear" w:color="auto" w:fill="ffffff"/>
              </w:rPr>
              <w:t xml:space="preserve">B</w:t>
            </w:r>
            <w:r>
              <w:rPr>
                <w:rFonts w:hint="eastAsia" w:ascii="宋体" w:hAnsi="宋体" w:eastAsia="宋体" w:cs="宋体"/>
                <w:i/>
                <w:iCs/>
                <w:sz w:val="18"/>
                <w:szCs w:val="18"/>
                <w:highlight w:val="none"/>
                <w:shd w:val="clear" w:color="auto" w:fill="ffffff"/>
                <w:vertAlign w:val="subscript"/>
              </w:rPr>
              <w:t xml:space="preserve">Ⅱ</w:t>
            </w:r>
            <w:r>
              <w:rPr>
                <w:rFonts w:hint="eastAsia" w:ascii="宋体" w:hAnsi="宋体" w:eastAsia="宋体" w:cs="宋体"/>
                <w:sz w:val="18"/>
                <w:szCs w:val="18"/>
                <w:highlight w:val="none"/>
                <w:shd w:val="clear" w:color="auto" w:fill="ffffff"/>
              </w:rPr>
              <w:t xml:space="preserve">（湖库总磷为</w:t>
            </w:r>
            <w:r>
              <w:rPr>
                <w:rFonts w:ascii="宋体" w:hAnsi="宋体" w:eastAsia="宋体" w:cs="宋体"/>
                <w:i/>
                <w:iCs/>
                <w:sz w:val="18"/>
                <w:szCs w:val="18"/>
                <w:highlight w:val="none"/>
                <w:shd w:val="clear" w:color="auto" w:fill="ffffff"/>
              </w:rPr>
              <w:t xml:space="preserve">B</w:t>
            </w:r>
            <w:r>
              <w:rPr>
                <w:rFonts w:hint="eastAsia" w:ascii="宋体" w:hAnsi="宋体" w:eastAsia="宋体" w:cs="宋体"/>
                <w:i/>
                <w:iCs/>
                <w:sz w:val="18"/>
                <w:szCs w:val="18"/>
                <w:highlight w:val="none"/>
                <w:shd w:val="clear" w:color="auto" w:fill="ffffff"/>
                <w:vertAlign w:val="subscript"/>
              </w:rPr>
              <w:t xml:space="preserve">Ⅲ</w:t>
            </w:r>
            <w:r>
              <w:rPr>
                <w:rFonts w:hint="eastAsia" w:ascii="宋体" w:hAnsi="宋体" w:eastAsia="宋体" w:cs="宋体"/>
                <w:sz w:val="18"/>
                <w:szCs w:val="18"/>
                <w:highlight w:val="none"/>
                <w:shd w:val="clear" w:color="auto" w:fill="ffffff"/>
              </w:rPr>
              <w:t xml:space="preserve">）时，认定比对实验结果合格。</w:t>
            </w:r>
            <w:r>
              <w:rPr>
                <w:rFonts w:hint="eastAsia" w:ascii="宋体" w:hAnsi="宋体" w:eastAsia="宋体" w:cs="宋体"/>
                <w:bCs/>
                <w:sz w:val="18"/>
                <w:szCs w:val="18"/>
                <w:highlight w:val="none"/>
                <w:shd w:val="clear" w:color="auto" w:fill="ffffff"/>
              </w:rPr>
              <w:t xml:space="preserve">注：①</w:t>
            </w:r>
            <w:r>
              <w:rPr>
                <w:rFonts w:hint="eastAsia" w:ascii="宋体" w:hAnsi="宋体" w:eastAsia="宋体" w:cs="宋体"/>
                <w:sz w:val="18"/>
                <w:szCs w:val="18"/>
                <w:highlight w:val="none"/>
              </w:rPr>
              <w:fldChar w:fldCharType="begin"/>
            </w:r>
            <w:r>
              <w:rPr>
                <w:rFonts w:ascii="宋体" w:hAnsi="宋体" w:eastAsia="宋体" w:cs="宋体"/>
                <w:sz w:val="18"/>
                <w:szCs w:val="18"/>
                <w:highlight w:val="none"/>
              </w:rPr>
              <w:instrText xml:space="preserve"> QUOTE </w:instrText>
            </w:r>
            <w:r>
              <w:rPr>
                <w:rFonts w:ascii="宋体" w:hAnsi="宋体" w:eastAsia="宋体" w:cs="宋体"/>
                <w:position w:val="-9"/>
                <w:sz w:val="18"/>
                <w:szCs w:val="18"/>
                <w:highlight w:val="none"/>
              </w:rPr>
              <mc:AlternateContent>
                <mc:Choice Requires="wpg">
                  <w:drawing>
                    <wp:inline xmlns:wp="http://schemas.openxmlformats.org/drawingml/2006/wordprocessingDrawing" distT="0" distB="0" distL="0" distR="0">
                      <wp:extent cx="133350" cy="200025"/>
                      <wp:effectExtent l="0" t="0" r="6350" b="3175"/>
                      <wp:docPr id="19"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0"/>
                              <a:stretch/>
                            </pic:blipFill>
                            <pic:spPr bwMode="auto">
                              <a:xfrm>
                                <a:off x="0" y="0"/>
                                <a:ext cx="133350" cy="2000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pt;height:15.8pt;mso-wrap-distance-left:0.0pt;mso-wrap-distance-top:0.0pt;mso-wrap-distance-right:0.0pt;mso-wrap-distance-bottom:0.0pt;" stroked="f">
                      <v:path textboxrect="0,0,0,0"/>
                      <v:imagedata r:id="rId20" o:title=""/>
                    </v:shape>
                  </w:pict>
                </mc:Fallback>
              </mc:AlternateContent>
            </w:r>
            <w:r>
              <w:rPr>
                <w:rFonts w:ascii="宋体" w:hAnsi="宋体" w:eastAsia="宋体" w:cs="宋体"/>
                <w:sz w:val="18"/>
                <w:szCs w:val="18"/>
                <w:highlight w:val="none"/>
              </w:rPr>
              <w:instrText xml:space="preserve"> </w:instrText>
            </w:r>
            <w:r>
              <w:rPr>
                <w:rFonts w:hint="eastAsia" w:ascii="宋体" w:hAnsi="宋体" w:eastAsia="宋体" w:cs="宋体"/>
                <w:sz w:val="18"/>
                <w:szCs w:val="18"/>
                <w:highlight w:val="none"/>
              </w:rPr>
              <w:fldChar w:fldCharType="separate"/>
            </w:r>
            <w:r>
              <w:rPr>
                <w:rFonts w:ascii="宋体" w:hAnsi="宋体" w:eastAsia="宋体" w:cs="宋体"/>
                <w:position w:val="-9"/>
                <w:sz w:val="18"/>
                <w:szCs w:val="18"/>
                <w:highlight w:val="none"/>
              </w:rPr>
              <mc:AlternateContent>
                <mc:Choice Requires="wpg">
                  <w:drawing>
                    <wp:inline xmlns:wp="http://schemas.openxmlformats.org/drawingml/2006/wordprocessingDrawing" distT="0" distB="0" distL="0" distR="0">
                      <wp:extent cx="133350" cy="200025"/>
                      <wp:effectExtent l="0" t="0" r="6350" b="3175"/>
                      <wp:docPr id="20"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0"/>
                              <a:stretch/>
                            </pic:blipFill>
                            <pic:spPr bwMode="auto">
                              <a:xfrm>
                                <a:off x="0" y="0"/>
                                <a:ext cx="133350" cy="2000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5pt;height:15.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18"/>
                <w:szCs w:val="18"/>
                <w:highlight w:val="none"/>
              </w:rPr>
              <w:fldChar w:fldCharType="end"/>
            </w:r>
            <w:r>
              <w:rPr>
                <w:rFonts w:hint="eastAsia" w:ascii="宋体" w:hAnsi="宋体" w:eastAsia="宋体" w:cs="宋体"/>
                <w:sz w:val="18"/>
                <w:szCs w:val="18"/>
                <w:highlight w:val="none"/>
              </w:rPr>
              <w:t xml:space="preserve">为实验室分析结果；</w:t>
            </w:r>
            <w:r>
              <w:rPr>
                <w:rFonts w:hint="eastAsia" w:ascii="宋体" w:hAnsi="宋体" w:eastAsia="宋体" w:cs="宋体"/>
                <w:bCs/>
                <w:sz w:val="18"/>
                <w:szCs w:val="18"/>
                <w:highlight w:val="none"/>
              </w:rPr>
              <w:t xml:space="preserve">②</w:t>
            </w:r>
            <w:r>
              <w:rPr>
                <w:rFonts w:ascii="宋体" w:hAnsi="宋体" w:eastAsia="宋体" w:cs="宋体"/>
                <w:bCs/>
                <w:i/>
                <w:iCs/>
                <w:sz w:val="18"/>
                <w:szCs w:val="18"/>
                <w:highlight w:val="none"/>
              </w:rPr>
              <w:t xml:space="preserve">B</w:t>
            </w:r>
            <w:r>
              <w:rPr>
                <w:rFonts w:hint="eastAsia" w:ascii="宋体" w:hAnsi="宋体" w:eastAsia="宋体" w:cs="宋体"/>
                <w:bCs/>
                <w:sz w:val="18"/>
                <w:szCs w:val="18"/>
                <w:highlight w:val="none"/>
              </w:rPr>
              <w:t xml:space="preserve">为水质类别限值；③河流总氮可参考湖库标准。</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Pr>
        <w:tc>
          <w:tcPr>
            <w:tcW w:w="1830"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sz w:val="18"/>
                <w:szCs w:val="18"/>
                <w:highlight w:val="none"/>
              </w:rPr>
              <w:t xml:space="preserve">加标回收试验</w:t>
            </w:r>
            <w:r/>
          </w:p>
        </w:tc>
        <w:tc>
          <w:tcPr>
            <w:tcW w:w="1240" w:type="dxa"/>
            <w:vAlign w:val="center"/>
            <w:textDirection w:val="lrTb"/>
            <w:noWrap w:val="false"/>
          </w:tcPr>
          <w:p>
            <w:pP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加标回收率</w:t>
            </w:r>
            <w:r/>
          </w:p>
        </w:tc>
        <w:tc>
          <w:tcPr>
            <w:gridSpan w:val="2"/>
            <w:tcW w:w="2164" w:type="dxa"/>
            <w:vAlign w:val="center"/>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t xml:space="preserve">80%～120%</w:t>
            </w:r>
            <w:r/>
          </w:p>
        </w:tc>
        <w:tc>
          <w:tcPr>
            <w:tcW w:w="1417"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数据异常排查时按需开展</w:t>
            </w:r>
            <w:r/>
          </w:p>
        </w:tc>
        <w:tc>
          <w:tcPr>
            <w:tcW w:w="2492"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393"/>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盲样考核</w:t>
            </w:r>
            <w:r/>
          </w:p>
        </w:tc>
        <w:tc>
          <w:tcPr>
            <w:tcW w:w="1240" w:type="dxa"/>
            <w:vAlign w:val="center"/>
            <w:vMerge w:val="restart"/>
            <w:textDirection w:val="lrTb"/>
            <w:noWrap w:val="false"/>
          </w:tcPr>
          <w:p>
            <w:pP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相对误差</w:t>
            </w:r>
            <w:r/>
          </w:p>
        </w:tc>
        <w:tc>
          <w:tcPr>
            <w:tcW w:w="1313"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氨氮</w:t>
            </w:r>
            <w:r/>
          </w:p>
        </w:tc>
        <w:tc>
          <w:tcPr>
            <w:tcW w:w="851"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15%</w:t>
            </w:r>
            <w:r/>
          </w:p>
        </w:tc>
        <w:tc>
          <w:tcPr>
            <w:tcW w:w="1417"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c>
          <w:tcPr>
            <w:tcW w:w="2492" w:type="dxa"/>
            <w:vAlign w:val="center"/>
            <w:vMerge w:val="restart"/>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405"/>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tcW w:w="1313"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高锰酸盐指数</w:t>
            </w:r>
            <w:r/>
          </w:p>
        </w:tc>
        <w:tc>
          <w:tcPr>
            <w:tcW w:w="851"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20%</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332"/>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tcW w:w="1313"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总磷</w:t>
            </w:r>
            <w:r/>
          </w:p>
        </w:tc>
        <w:tc>
          <w:tcPr>
            <w:tcW w:w="851"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15%</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333"/>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tcW w:w="1313"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总氮</w:t>
            </w:r>
            <w:r/>
          </w:p>
        </w:tc>
        <w:tc>
          <w:tcPr>
            <w:tcW w:w="851"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20%</w:t>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382"/>
        </w:trPr>
        <w:tc>
          <w:tcPr>
            <w:tcW w:w="1830"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消解率测试</w:t>
            </w:r>
            <w:r/>
          </w:p>
        </w:tc>
        <w:tc>
          <w:tcPr>
            <w:tcW w:w="1240" w:type="dxa"/>
            <w:vAlign w:val="center"/>
            <w:vMerge w:val="restart"/>
            <w:textDirection w:val="lrTb"/>
            <w:noWrap w:val="false"/>
          </w:tcPr>
          <w:p>
            <w:pP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消解率</w:t>
            </w:r>
            <w:r/>
          </w:p>
        </w:tc>
        <w:tc>
          <w:tcPr>
            <w:tcW w:w="1313"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总磷</w:t>
            </w:r>
            <w:r/>
          </w:p>
        </w:tc>
        <w:tc>
          <w:tcPr>
            <w:tcW w:w="851" w:type="dxa"/>
            <w:vAlign w:val="center"/>
            <w:vMerge w:val="restart"/>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95%</w:t>
            </w:r>
            <w:r/>
          </w:p>
        </w:tc>
        <w:tc>
          <w:tcPr>
            <w:tcW w:w="1417"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每季度</w:t>
            </w:r>
            <w:r/>
          </w:p>
        </w:tc>
        <w:tc>
          <w:tcPr>
            <w:tcW w:w="2492" w:type="dxa"/>
            <w:vAlign w:val="center"/>
            <w:vMerge w:val="restart"/>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403"/>
        </w:trPr>
        <w:tc>
          <w:tcPr>
            <w:tcW w:w="1830"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40"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tcW w:w="1313" w:type="dxa"/>
            <w:vAlign w:val="center"/>
            <w:textDirection w:val="lrTb"/>
            <w:noWrap w:val="false"/>
          </w:tcPr>
          <w:p>
            <w:pPr>
              <w:jc w:val="center"/>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总氮</w:t>
            </w:r>
            <w:r/>
          </w:p>
        </w:tc>
        <w:tc>
          <w:tcPr>
            <w:tcW w:w="851" w:type="dxa"/>
            <w:vAlign w:val="center"/>
            <w:vMerge w:val="continue"/>
            <w:textDirection w:val="lrTb"/>
            <w:noWrap w:val="false"/>
          </w:tcPr>
          <w:p>
            <w:pPr>
              <w:jc w:val="center"/>
              <w:rPr>
                <w:rFonts w:ascii="宋体" w:hAnsi="宋体" w:eastAsia="宋体" w:cs="宋体"/>
                <w:bCs/>
                <w:sz w:val="18"/>
                <w:szCs w:val="18"/>
                <w:highlight w:val="none"/>
              </w:rPr>
            </w:pPr>
            <w:r>
              <w:rPr>
                <w:rFonts w:ascii="宋体" w:hAnsi="宋体" w:eastAsia="宋体" w:cs="宋体"/>
                <w:bCs/>
                <w:sz w:val="18"/>
                <w:szCs w:val="18"/>
                <w:highlight w:val="none"/>
              </w:rPr>
            </w:r>
            <w:r/>
          </w:p>
        </w:tc>
        <w:tc>
          <w:tcPr>
            <w:tcW w:w="141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492"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r>
    </w:tbl>
    <w:p>
      <w:pPr>
        <w:pStyle w:val="956"/>
        <w:ind w:firstLine="482"/>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表</w:t>
      </w:r>
      <w:r>
        <w:rPr>
          <w:rFonts w:ascii="宋体" w:hAnsi="宋体" w:eastAsia="宋体" w:cs="宋体"/>
          <w:b/>
          <w:bCs/>
          <w:sz w:val="24"/>
          <w:szCs w:val="24"/>
          <w:highlight w:val="none"/>
        </w:rPr>
        <w:t xml:space="preserve">6  </w:t>
      </w:r>
      <w:r>
        <w:rPr>
          <w:rFonts w:hint="eastAsia" w:ascii="宋体" w:hAnsi="宋体" w:eastAsia="宋体" w:cs="宋体"/>
          <w:b/>
          <w:bCs/>
          <w:sz w:val="24"/>
          <w:szCs w:val="24"/>
          <w:highlight w:val="none"/>
        </w:rPr>
        <w:t xml:space="preserve">叶绿素</w:t>
      </w:r>
      <w:r>
        <w:rPr>
          <w:rFonts w:ascii="宋体" w:hAnsi="宋体" w:eastAsia="宋体" w:cs="宋体"/>
          <w:b/>
          <w:bCs/>
          <w:sz w:val="24"/>
          <w:szCs w:val="24"/>
          <w:highlight w:val="none"/>
        </w:rPr>
        <w:t xml:space="preserve">a、藻密度质量控制措施实施频次和技术要求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9"/>
        <w:gridCol w:w="1279"/>
        <w:gridCol w:w="2406"/>
        <w:gridCol w:w="1278"/>
        <w:gridCol w:w="2343"/>
      </w:tblGrid>
      <w:tr>
        <w:trPr>
          <w:jc w:val="center"/>
          <w:trHeight w:val="660"/>
        </w:trPr>
        <w:tc>
          <w:tcPr>
            <w:tcW w:w="1609"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质控措施</w:t>
            </w:r>
            <w:r/>
          </w:p>
        </w:tc>
        <w:tc>
          <w:tcPr>
            <w:gridSpan w:val="2"/>
            <w:tcW w:w="3685"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技术要求</w:t>
            </w:r>
            <w:r/>
          </w:p>
        </w:tc>
        <w:tc>
          <w:tcPr>
            <w:tcW w:w="1278"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实施频次</w:t>
            </w:r>
            <w:r/>
          </w:p>
        </w:tc>
        <w:tc>
          <w:tcPr>
            <w:tcW w:w="2343"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备注</w:t>
            </w:r>
            <w:r/>
          </w:p>
        </w:tc>
      </w:tr>
      <w:tr>
        <w:trPr>
          <w:jc w:val="center"/>
          <w:trHeight w:val="648"/>
        </w:trPr>
        <w:tc>
          <w:tcPr>
            <w:tcW w:w="1609"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多点线性核查</w:t>
            </w:r>
            <w:r/>
          </w:p>
        </w:tc>
        <w:tc>
          <w:tcPr>
            <w:tcW w:w="1279"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线性相关系数</w:t>
            </w:r>
            <w:r>
              <w:rPr>
                <w:rFonts w:ascii="宋体" w:hAnsi="宋体" w:eastAsia="宋体" w:cs="宋体"/>
                <w:i/>
                <w:iCs/>
                <w:sz w:val="18"/>
                <w:szCs w:val="18"/>
                <w:highlight w:val="none"/>
              </w:rPr>
              <w:t xml:space="preserve">r</w:t>
            </w:r>
            <w:r/>
          </w:p>
        </w:tc>
        <w:tc>
          <w:tcPr>
            <w:tcW w:w="240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bCs/>
                <w:sz w:val="18"/>
                <w:szCs w:val="18"/>
                <w:highlight w:val="none"/>
              </w:rPr>
              <w:t xml:space="preserve">≥</w:t>
            </w:r>
            <w:r>
              <w:rPr>
                <w:rFonts w:ascii="宋体" w:hAnsi="宋体" w:eastAsia="宋体" w:cs="宋体"/>
                <w:bCs/>
                <w:sz w:val="18"/>
                <w:szCs w:val="18"/>
                <w:highlight w:val="none"/>
              </w:rPr>
              <w:t xml:space="preserve">0.993</w:t>
            </w:r>
            <w:r/>
          </w:p>
        </w:tc>
        <w:tc>
          <w:tcPr>
            <w:tcW w:w="1278"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每季度</w:t>
            </w:r>
            <w:r/>
          </w:p>
        </w:tc>
        <w:tc>
          <w:tcPr>
            <w:tcW w:w="2343"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702"/>
        </w:trPr>
        <w:tc>
          <w:tcPr>
            <w:tcW w:w="1609"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1279"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示值误差</w:t>
            </w:r>
            <w:r/>
          </w:p>
        </w:tc>
        <w:tc>
          <w:tcPr>
            <w:tcW w:w="240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零点绝对误差应为≤</w:t>
            </w:r>
            <w:r>
              <w:rPr>
                <w:rFonts w:ascii="宋体" w:hAnsi="宋体" w:eastAsia="宋体" w:cs="宋体"/>
                <w:sz w:val="18"/>
                <w:szCs w:val="18"/>
                <w:highlight w:val="none"/>
              </w:rPr>
              <w:t xml:space="preserve">3倍检出限，其他点相对误差≤±5%</w:t>
            </w:r>
            <w:r/>
          </w:p>
        </w:tc>
        <w:tc>
          <w:tcPr>
            <w:tcW w:w="1278"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343"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w:t>
            </w:r>
            <w:r/>
          </w:p>
        </w:tc>
      </w:tr>
      <w:tr>
        <w:trPr>
          <w:jc w:val="center"/>
          <w:trHeight w:val="652"/>
        </w:trPr>
        <w:tc>
          <w:tcPr>
            <w:shd w:val="clear" w:color="auto" w:fill="auto"/>
            <w:tcW w:w="1609"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实际水样比对</w:t>
            </w:r>
            <w:r/>
          </w:p>
        </w:tc>
        <w:tc>
          <w:tcPr>
            <w:shd w:val="clear" w:color="auto" w:fill="ffffff"/>
            <w:tcW w:w="1279"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相对误差</w:t>
            </w:r>
            <w:r/>
          </w:p>
        </w:tc>
        <w:tc>
          <w:tcPr>
            <w:shd w:val="clear" w:color="auto" w:fill="ffffff"/>
            <w:tcW w:w="240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30%</w:t>
            </w:r>
            <w:r/>
          </w:p>
        </w:tc>
        <w:tc>
          <w:tcPr>
            <w:shd w:val="clear" w:color="auto" w:fill="ffffff"/>
            <w:tcW w:w="1278"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c>
          <w:tcPr>
            <w:shd w:val="clear" w:color="auto" w:fill="ffffff"/>
            <w:tcW w:w="2343"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采用经校准的便携式荧光法仪器比对</w:t>
            </w:r>
            <w:r/>
          </w:p>
        </w:tc>
      </w:tr>
    </w:tbl>
    <w:p>
      <w:pPr>
        <w:pStyle w:val="956"/>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56"/>
        <w:ind w:firstLine="482"/>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表</w:t>
      </w:r>
      <w:r>
        <w:rPr>
          <w:rFonts w:ascii="宋体" w:hAnsi="宋体" w:eastAsia="宋体" w:cs="宋体"/>
          <w:b/>
          <w:bCs/>
          <w:sz w:val="24"/>
          <w:szCs w:val="24"/>
          <w:highlight w:val="none"/>
        </w:rPr>
        <w:t xml:space="preserve">7  </w:t>
      </w:r>
      <w:r>
        <w:rPr>
          <w:rFonts w:hint="eastAsia" w:ascii="宋体" w:hAnsi="宋体" w:eastAsia="宋体" w:cs="宋体"/>
          <w:b/>
          <w:bCs/>
          <w:sz w:val="24"/>
          <w:szCs w:val="24"/>
          <w:highlight w:val="none"/>
        </w:rPr>
        <w:t xml:space="preserve">挥发性有机物质量控制措施实施频次和技术要求</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05"/>
        <w:gridCol w:w="1127"/>
        <w:gridCol w:w="2239"/>
        <w:gridCol w:w="3386"/>
      </w:tblGrid>
      <w:tr>
        <w:trPr>
          <w:jc w:val="center"/>
          <w:trHeight w:val="465"/>
        </w:trPr>
        <w:tc>
          <w:tcPr>
            <w:tcW w:w="2005"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质控措施</w:t>
            </w:r>
            <w:r/>
          </w:p>
        </w:tc>
        <w:tc>
          <w:tcPr>
            <w:gridSpan w:val="2"/>
            <w:tcW w:w="3366"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技术要求</w:t>
            </w:r>
            <w:r/>
          </w:p>
        </w:tc>
        <w:tc>
          <w:tcPr>
            <w:tcW w:w="3386" w:type="dxa"/>
            <w:vAlign w:val="center"/>
            <w:textDirection w:val="lrTb"/>
            <w:noWrap w:val="false"/>
          </w:tcPr>
          <w:p>
            <w:pPr>
              <w:jc w:val="center"/>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质控实施频次</w:t>
            </w:r>
            <w:r/>
          </w:p>
        </w:tc>
      </w:tr>
      <w:tr>
        <w:trPr>
          <w:jc w:val="center"/>
          <w:trHeight w:val="403"/>
        </w:trPr>
        <w:tc>
          <w:tcPr>
            <w:tcW w:w="2005"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标准溶液核查</w:t>
            </w:r>
            <w:r/>
          </w:p>
        </w:tc>
        <w:tc>
          <w:tcPr>
            <w:tcW w:w="1127"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相对误差</w:t>
            </w:r>
            <w:r/>
          </w:p>
        </w:tc>
        <w:tc>
          <w:tcPr>
            <w:tcW w:w="2239" w:type="dxa"/>
            <w:vAlign w:val="center"/>
            <w:vMerge w:val="restart"/>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30%</w:t>
            </w:r>
            <w:r/>
          </w:p>
        </w:tc>
        <w:tc>
          <w:tcPr>
            <w:tcW w:w="338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每月</w:t>
            </w:r>
            <w:r/>
          </w:p>
        </w:tc>
      </w:tr>
      <w:tr>
        <w:trPr>
          <w:jc w:val="center"/>
          <w:trHeight w:val="403"/>
        </w:trPr>
        <w:tc>
          <w:tcPr>
            <w:tcW w:w="2005"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实际水样比对</w:t>
            </w:r>
            <w:r/>
          </w:p>
        </w:tc>
        <w:tc>
          <w:tcPr>
            <w:tcW w:w="1127"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2239" w:type="dxa"/>
            <w:vAlign w:val="center"/>
            <w:vMerge w:val="continue"/>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r>
            <w:r/>
          </w:p>
        </w:tc>
        <w:tc>
          <w:tcPr>
            <w:tcW w:w="338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每季度</w:t>
            </w:r>
            <w:r/>
          </w:p>
        </w:tc>
      </w:tr>
      <w:tr>
        <w:trPr>
          <w:jc w:val="center"/>
          <w:trHeight w:val="417"/>
        </w:trPr>
        <w:tc>
          <w:tcPr>
            <w:tcW w:w="2005"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加标回收试验</w:t>
            </w:r>
            <w:r/>
          </w:p>
        </w:tc>
        <w:tc>
          <w:tcPr>
            <w:gridSpan w:val="2"/>
            <w:tcW w:w="3366" w:type="dxa"/>
            <w:vAlign w:val="center"/>
            <w:textDirection w:val="lrTb"/>
            <w:noWrap w:val="false"/>
          </w:tcPr>
          <w:p>
            <w:pPr>
              <w:jc w:val="center"/>
              <w:rPr>
                <w:rFonts w:ascii="宋体" w:hAnsi="宋体" w:eastAsia="宋体" w:cs="宋体"/>
                <w:sz w:val="18"/>
                <w:szCs w:val="18"/>
                <w:highlight w:val="none"/>
              </w:rPr>
            </w:pPr>
            <w:r>
              <w:rPr>
                <w:rFonts w:ascii="宋体" w:hAnsi="宋体" w:eastAsia="宋体" w:cs="宋体"/>
                <w:sz w:val="18"/>
                <w:szCs w:val="18"/>
                <w:highlight w:val="none"/>
              </w:rPr>
              <w:t xml:space="preserve">70%～130%</w:t>
            </w:r>
            <w:r/>
          </w:p>
        </w:tc>
        <w:tc>
          <w:tcPr>
            <w:tcW w:w="3386" w:type="dxa"/>
            <w:vAlign w:val="center"/>
            <w:textDirection w:val="lrTb"/>
            <w:noWrap w:val="false"/>
          </w:tcPr>
          <w:p>
            <w:pPr>
              <w:jc w:val="center"/>
              <w:rPr>
                <w:rFonts w:ascii="宋体" w:hAnsi="宋体" w:eastAsia="宋体" w:cs="宋体"/>
                <w:sz w:val="18"/>
                <w:szCs w:val="18"/>
                <w:highlight w:val="none"/>
              </w:rPr>
            </w:pPr>
            <w:r>
              <w:rPr>
                <w:rFonts w:hint="eastAsia" w:ascii="宋体" w:hAnsi="宋体" w:eastAsia="宋体" w:cs="宋体"/>
                <w:sz w:val="18"/>
                <w:szCs w:val="18"/>
                <w:highlight w:val="none"/>
              </w:rPr>
              <w:t xml:space="preserve">数据异常排查时按需开展</w:t>
            </w:r>
            <w:r/>
          </w:p>
        </w:tc>
      </w:tr>
    </w:tbl>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5、应急措施要求：</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5.1供应商保证在运营维护管理期内，日常工作日8小时不断人，节假日或非工作时间有值班人员，协助采购单位做好水站应急监测，制定应急维护方案。配合采购单位完成自然灾害、疫情等突发情况期间的应急维护工作；根据采购单位安排，配合水站现场调研、检查、科普基地开放参观等工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5.2当水站监测数据发现异常或发现所在断面发生污染事故时，应及时响应、核实水质自动站异常数据，配合相关部门做好污染应急监测工作；且须2小时内报告采购单位，并保证系统仪器正常运行，监测数据准确，传输畅通，并协助采购单位在必要时做好水站周边水系情况调查及污染溯源排查工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5.3当系统仪器出现故障（包括停运）时，故障响应时间小于1小时，即发现故障后应在2小时以内制定出排除方案，保证在4小时内到达现场检修通信线路、电力线路故障除外，但应及时与相关部门联系积极解决，一般故障应12小时以内排除，特殊故障72小时内无法排除的，导致水站主要监测指标（pH、溶解氧、高锰酸盐指数、氨氮、总磷、总氮、藻密度）无法连续监测时，须通过更换备机以确保数据的完整性，并及时用电话与书面形式报告采购单位，协商处理方案，期间需配合进行手工监测。</w:t>
      </w:r>
      <w:r/>
    </w:p>
    <w:p>
      <w:pPr>
        <w:ind w:firstLine="482"/>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6、监督考核与惩罚办法</w:t>
      </w:r>
      <w:r/>
    </w:p>
    <w:p>
      <w:pPr>
        <w:ind w:firstLine="480"/>
        <w:jc w:val="left"/>
        <w:spacing w:line="360" w:lineRule="auto"/>
        <w:rPr>
          <w:rFonts w:ascii="宋体" w:hAnsi="宋体" w:eastAsia="宋体" w:cs="宋体"/>
          <w:sz w:val="24"/>
          <w:szCs w:val="24"/>
          <w:highlight w:val="none"/>
        </w:rPr>
      </w:pPr>
      <w:r/>
      <w:bookmarkStart w:id="38" w:name="_Toc150333509"/>
      <w:r/>
      <w:bookmarkStart w:id="39" w:name="_Toc86147072"/>
      <w:r>
        <w:rPr>
          <w:rFonts w:hint="eastAsia" w:ascii="宋体" w:hAnsi="宋体" w:eastAsia="宋体" w:cs="宋体"/>
          <w:sz w:val="24"/>
          <w:szCs w:val="24"/>
          <w:highlight w:val="none"/>
        </w:rPr>
        <w:t xml:space="preserve">6.1监督管理</w:t>
      </w:r>
      <w:bookmarkEnd w:id="38"/>
      <w:r/>
      <w:bookmarkEnd w:id="39"/>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6.1.1供应商应承担监测数据的保密责任（签订保密协议），不得利用本项目的数据、档案或有关资料对外开展技术交流、业务联系、数据交换等。否则，苏州市生态环境局有权终止合同。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6.1.2运行维护期间出现调整数据、修改参数、改动设备、质控结果与平台采集结果不一致、弄虚作假等违规行为的，一经查实苏州市生态环境局有权终止服务合同。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6.1.3苏州市生态环境局组织开展运行维护管理和质控考核，对达不到运行维护要求或违规操作的，可以通报相关违规行为，并扣减相应的服务经费，苏州市生态环境局有权终止合同。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6.1.4违反相关水质自动站管理办法等违规行为的，一经查实苏州市生态环境局有权终止合同。</w:t>
      </w:r>
      <w:r/>
    </w:p>
    <w:p>
      <w:pPr>
        <w:ind w:firstLine="480"/>
        <w:spacing w:line="360" w:lineRule="auto"/>
        <w:rPr>
          <w:rFonts w:ascii="宋体" w:hAnsi="宋体" w:eastAsia="宋体" w:cs="宋体"/>
          <w:sz w:val="24"/>
          <w:szCs w:val="24"/>
          <w:highlight w:val="none"/>
        </w:rPr>
      </w:pPr>
      <w:r/>
      <w:bookmarkStart w:id="40" w:name="_Toc150333510"/>
      <w:r/>
      <w:bookmarkStart w:id="41" w:name="_Toc86147073"/>
      <w:r>
        <w:rPr>
          <w:rFonts w:hint="eastAsia" w:ascii="宋体" w:hAnsi="宋体" w:eastAsia="宋体" w:cs="宋体"/>
          <w:sz w:val="24"/>
          <w:szCs w:val="24"/>
          <w:highlight w:val="none"/>
        </w:rPr>
        <w:t xml:space="preserve">6.2考核办法</w:t>
      </w:r>
      <w:bookmarkEnd w:id="40"/>
      <w:r/>
      <w:bookmarkEnd w:id="4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6.2.1采购单位对供应商每半年开展一次考核，考核内容包括</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部分，具体考核内容、考核依据和分值见表8。</w:t>
      </w:r>
      <w:r>
        <w:rPr>
          <w:rFonts w:hint="eastAsia" w:ascii="宋体" w:hAnsi="宋体" w:eastAsia="宋体" w:cs="宋体"/>
          <w:color w:val="auto"/>
          <w:sz w:val="24"/>
          <w:szCs w:val="24"/>
          <w:highlight w:val="none"/>
        </w:rPr>
        <w:t xml:space="preserve">考核分大于等于90分</w:t>
      </w:r>
      <w:r>
        <w:rPr>
          <w:rFonts w:hint="eastAsia" w:ascii="宋体" w:hAnsi="宋体" w:eastAsia="宋体" w:cs="宋体"/>
          <w:color w:val="auto"/>
          <w:sz w:val="24"/>
          <w:szCs w:val="24"/>
          <w:highlight w:val="none"/>
          <w:lang w:val="en-US" w:eastAsia="zh-CN"/>
        </w:rPr>
        <w:t xml:space="preserve">不扣款；</w:t>
      </w:r>
      <w:r>
        <w:rPr>
          <w:rFonts w:hint="eastAsia" w:ascii="宋体" w:hAnsi="宋体" w:eastAsia="宋体" w:cs="宋体"/>
          <w:color w:val="auto"/>
          <w:sz w:val="24"/>
          <w:szCs w:val="24"/>
          <w:highlight w:val="none"/>
        </w:rPr>
        <w:t xml:space="preserve">考核分在80分（含）以上，90分以下，为初级警告，扣除服务费</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万元；考核分在70分（含）以上，80分以下，为二级警告，扣除服务费</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万元；考核分在70分以下，扣除服务费</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0万元。</w:t>
      </w:r>
      <w:r/>
    </w:p>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表8</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考核表</w:t>
      </w:r>
      <w:r/>
    </w:p>
    <w:p>
      <w:pPr>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服务</w:t>
      </w: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360" w:lineRule="auto"/>
        <w:widowControl w:val="off"/>
        <w:rPr>
          <w:highlight w:val="none"/>
        </w:rPr>
      </w:pPr>
      <w:r>
        <w:rPr>
          <w:rFonts w:hint="eastAsia" w:ascii="宋体" w:hAnsi="宋体" w:eastAsia="宋体" w:cs="宋体"/>
          <w:color w:val="auto"/>
          <w:sz w:val="21"/>
          <w:szCs w:val="21"/>
          <w:highlight w:val="none"/>
        </w:rPr>
        <w:t xml:space="preserve">考核</w:t>
      </w:r>
      <w:r>
        <w:rPr>
          <w:rFonts w:hint="eastAsia" w:ascii="宋体" w:hAnsi="宋体" w:eastAsia="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考核时间：</w:t>
      </w:r>
      <w:r/>
    </w:p>
    <w:tbl>
      <w:tblPr>
        <w:tblStyle w:val="9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3237"/>
        <w:gridCol w:w="3237"/>
        <w:gridCol w:w="1925"/>
      </w:tblGrid>
      <w:tr>
        <w:trPr>
          <w:trHeight w:val="454"/>
        </w:trPr>
        <w:tc>
          <w:tcPr>
            <w:tcW w:w="593" w:type="dxa"/>
            <w:vAlign w:val="center"/>
            <w:textDirection w:val="lrTb"/>
            <w:noWrap w:val="false"/>
          </w:tcPr>
          <w:p>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W w:w="3579" w:type="dxa"/>
            <w:vAlign w:val="center"/>
            <w:textDirection w:val="lrTb"/>
            <w:noWrap w:val="false"/>
          </w:tcPr>
          <w:p>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考核内容</w:t>
            </w:r>
            <w:r/>
          </w:p>
        </w:tc>
        <w:tc>
          <w:tcPr>
            <w:tcW w:w="3579" w:type="dxa"/>
            <w:vAlign w:val="center"/>
            <w:textDirection w:val="lrTb"/>
            <w:noWrap w:val="false"/>
          </w:tcPr>
          <w:p>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考核依据</w:t>
            </w:r>
            <w:r/>
          </w:p>
        </w:tc>
        <w:tc>
          <w:tcPr>
            <w:tcW w:w="2086" w:type="dxa"/>
            <w:vAlign w:val="center"/>
            <w:textDirection w:val="lrTb"/>
            <w:noWrap w:val="false"/>
          </w:tcPr>
          <w:p>
            <w:pPr>
              <w:jc w:val="center"/>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分值（满分100）</w:t>
            </w:r>
            <w:r/>
          </w:p>
        </w:tc>
      </w:tr>
      <w:tr>
        <w:trPr>
          <w:trHeight w:val="454"/>
        </w:trPr>
        <w:tc>
          <w:tcPr>
            <w:tcW w:w="593"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W w:w="3579" w:type="dxa"/>
            <w:vAlign w:val="center"/>
            <w:textDirection w:val="lrTb"/>
            <w:noWrap w:val="false"/>
          </w:tcPr>
          <w:p>
            <w:p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水站运维服务考核</w:t>
            </w:r>
            <w:r/>
          </w:p>
        </w:tc>
        <w:tc>
          <w:tcPr>
            <w:tcW w:w="3579" w:type="dxa"/>
            <w:vAlign w:val="center"/>
            <w:textDirection w:val="lrTb"/>
            <w:noWrap w:val="false"/>
          </w:tcPr>
          <w:p>
            <w:p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取各站点的《水站运维服务考核表》均分，按60%占比折算成相应分数计入总考核。</w:t>
            </w:r>
            <w:r/>
          </w:p>
        </w:tc>
        <w:tc>
          <w:tcPr>
            <w:tcW w:w="208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60分</w:t>
            </w:r>
            <w:r/>
          </w:p>
        </w:tc>
      </w:tr>
      <w:tr>
        <w:trPr>
          <w:trHeight w:val="454"/>
        </w:trPr>
        <w:tc>
          <w:tcPr>
            <w:tcW w:w="593" w:type="dxa"/>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w:t>
            </w:r>
            <w:r/>
          </w:p>
        </w:tc>
        <w:tc>
          <w:tcPr>
            <w:tcW w:w="3579" w:type="dxa"/>
            <w:vAlign w:val="center"/>
            <w:textDirection w:val="lrTb"/>
            <w:noWrap w:val="false"/>
          </w:tcPr>
          <w:p>
            <w:pPr>
              <w:jc w:val="lef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饮用水源地水站智能化升级改造服务</w:t>
            </w:r>
            <w:r/>
          </w:p>
        </w:tc>
        <w:tc>
          <w:tcPr>
            <w:tcW w:w="3579"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质控准确性应在</w:t>
            </w:r>
            <w:r>
              <w:rPr>
                <w:rStyle w:val="949"/>
                <w:rFonts w:hint="eastAsia" w:ascii="宋体" w:hAnsi="宋体" w:eastAsia="宋体" w:cs="宋体"/>
                <w:b w:val="0"/>
                <w:bCs w:val="0"/>
                <w:color w:val="auto"/>
                <w:sz w:val="18"/>
                <w:szCs w:val="18"/>
                <w:highlight w:val="none"/>
                <w:shd w:val="clear" w:color="auto" w:fill="ffffff"/>
                <w:lang w:eastAsia="zh-CN"/>
              </w:rPr>
              <w:t xml:space="preserve">规定</w:t>
            </w:r>
            <w:r>
              <w:rPr>
                <w:rFonts w:hint="eastAsia" w:ascii="宋体" w:hAnsi="宋体" w:eastAsia="宋体" w:cs="宋体"/>
                <w:color w:val="auto"/>
                <w:sz w:val="18"/>
                <w:szCs w:val="18"/>
                <w:highlight w:val="none"/>
              </w:rPr>
              <w:t xml:space="preserve">允许范围内，每出现一次超范围结果扣1分。</w:t>
            </w:r>
            <w:r>
              <w:rPr>
                <w:rFonts w:hint="eastAsia" w:ascii="宋体" w:hAnsi="宋体" w:eastAsia="宋体" w:cs="宋体"/>
                <w:color w:val="auto"/>
                <w:sz w:val="18"/>
                <w:szCs w:val="18"/>
                <w:highlight w:val="none"/>
                <w:lang w:val="en-US" w:eastAsia="zh-CN"/>
              </w:rPr>
              <w:t xml:space="preserve">每出现一次数据异常未识别审核的扣0.5分</w:t>
            </w:r>
            <w:r>
              <w:rPr>
                <w:rFonts w:hint="eastAsia" w:ascii="宋体" w:hAnsi="宋体" w:eastAsia="宋体" w:cs="宋体"/>
                <w:color w:val="auto"/>
                <w:sz w:val="18"/>
                <w:szCs w:val="18"/>
                <w:highlight w:val="none"/>
              </w:rPr>
              <w:t xml:space="preserve">。</w:t>
            </w:r>
            <w:r/>
          </w:p>
        </w:tc>
        <w:tc>
          <w:tcPr>
            <w:tcW w:w="2086"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0分</w:t>
            </w:r>
            <w:r/>
          </w:p>
        </w:tc>
      </w:tr>
      <w:tr>
        <w:trPr>
          <w:trHeight w:val="454"/>
        </w:trPr>
        <w:tc>
          <w:tcPr>
            <w:tcW w:w="593" w:type="dxa"/>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3</w:t>
            </w:r>
            <w:r/>
          </w:p>
        </w:tc>
        <w:tc>
          <w:tcPr>
            <w:tcW w:w="3579" w:type="dxa"/>
            <w:vAlign w:val="center"/>
            <w:textDirection w:val="lrTb"/>
            <w:noWrap w:val="false"/>
          </w:tcPr>
          <w:p>
            <w:p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对水源地、国、省考断面溯源及报告编制提供技术支撑</w:t>
            </w:r>
            <w:r/>
          </w:p>
        </w:tc>
        <w:tc>
          <w:tcPr>
            <w:tcW w:w="3579" w:type="dxa"/>
            <w:vAlign w:val="center"/>
            <w:textDirection w:val="lrTb"/>
            <w:noWrap w:val="false"/>
          </w:tcPr>
          <w:p>
            <w:pPr>
              <w:numPr>
                <w:ilvl w:val="0"/>
                <w:numId w:val="0"/>
              </w:num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收到溯源需求后不响应，扣</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p>
            <w:pPr>
              <w:numPr>
                <w:ilvl w:val="0"/>
                <w:numId w:val="0"/>
              </w:num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水质综合分析人员水平低，无法提供溯源技术支撑，扣</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208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0分</w:t>
            </w:r>
            <w:r/>
          </w:p>
        </w:tc>
      </w:tr>
      <w:tr>
        <w:trPr>
          <w:trHeight w:val="454"/>
        </w:trPr>
        <w:tc>
          <w:tcPr>
            <w:tcW w:w="593" w:type="dxa"/>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4</w:t>
            </w:r>
            <w:r/>
          </w:p>
        </w:tc>
        <w:tc>
          <w:tcPr>
            <w:tcW w:w="3579" w:type="dxa"/>
            <w:vAlign w:val="center"/>
            <w:textDirection w:val="lrTb"/>
            <w:noWrap w:val="false"/>
          </w:tcPr>
          <w:p>
            <w:p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每日对水源地、国、省考断面异常数据进行预警提醒</w:t>
            </w:r>
            <w:r/>
          </w:p>
        </w:tc>
        <w:tc>
          <w:tcPr>
            <w:tcW w:w="3579" w:type="dxa"/>
            <w:vAlign w:val="center"/>
            <w:textDirection w:val="lrTb"/>
            <w:noWrap w:val="false"/>
          </w:tcPr>
          <w:p>
            <w:pPr>
              <w:numPr>
                <w:ilvl w:val="0"/>
                <w:numId w:val="0"/>
              </w:num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每日进行预警提醒，发现未完成一次扣1分，扣完为止。</w:t>
            </w:r>
            <w:r/>
          </w:p>
          <w:p>
            <w:pPr>
              <w:numPr>
                <w:ilvl w:val="0"/>
                <w:numId w:val="0"/>
              </w:numPr>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预警提醒内容有错误，发现一次扣1分，扣完为止。</w:t>
            </w:r>
            <w:r/>
          </w:p>
        </w:tc>
        <w:tc>
          <w:tcPr>
            <w:tcW w:w="208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0分</w:t>
            </w:r>
            <w:r/>
          </w:p>
        </w:tc>
      </w:tr>
    </w:tbl>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6.2.2水站运维服务考核</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单位每半年对供应商运行维护水站的运行情况进行考核。采取单站考核的方式，考核内容以站点有效运行率为主，兼顾盲样考核、数据捕获率、工作人员管理、固定资产管理以及运行维护规范性等。依据各站点维护内容就维护质量和相关指标相结合的方式进行综合评分，满分为100分，具体考核内容分别见表9。</w:t>
      </w:r>
      <w:r/>
    </w:p>
    <w:p>
      <w:pPr>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表9</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水站运维服务考核表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站点：</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运维方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考核</w:t>
      </w:r>
      <w:r>
        <w:rPr>
          <w:rFonts w:hint="eastAsia" w:ascii="宋体" w:hAnsi="宋体" w:eastAsia="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考核</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w:t>
      </w:r>
      <w:r/>
    </w:p>
    <w:tbl>
      <w:tblPr>
        <w:tblStyle w:val="950"/>
        <w:tblW w:w="9631" w:type="dxa"/>
        <w:jc w:val="center"/>
        <w:tblLayout w:type="autofit"/>
        <w:tblCellMar>
          <w:left w:w="0" w:type="dxa"/>
          <w:top w:w="0" w:type="dxa"/>
          <w:right w:w="0" w:type="dxa"/>
          <w:bottom w:w="0" w:type="dxa"/>
        </w:tblCellMar>
        <w:tblLook w:val="04A0" w:firstRow="1" w:lastRow="0" w:firstColumn="1" w:lastColumn="0" w:noHBand="0" w:noVBand="1"/>
      </w:tblPr>
      <w:tblGrid>
        <w:gridCol w:w="1242"/>
        <w:gridCol w:w="2977"/>
        <w:gridCol w:w="4536"/>
        <w:gridCol w:w="876"/>
      </w:tblGrid>
      <w:tr>
        <w:trPr>
          <w:jc w:val="center"/>
          <w:trHeight w:val="20"/>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jc w:val="center"/>
              <w:rPr>
                <w:rFonts w:ascii="宋体" w:hAnsi="宋体" w:eastAsia="宋体" w:cs="宋体"/>
                <w:b/>
                <w:sz w:val="18"/>
                <w:szCs w:val="18"/>
                <w:highlight w:val="none"/>
              </w:rPr>
            </w:pPr>
            <w:r>
              <w:rPr>
                <w:rFonts w:hint="eastAsia" w:ascii="宋体" w:hAnsi="宋体" w:eastAsia="宋体" w:cs="宋体"/>
                <w:b/>
                <w:sz w:val="18"/>
                <w:szCs w:val="18"/>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jc w:val="center"/>
              <w:rPr>
                <w:rFonts w:ascii="宋体" w:hAnsi="宋体" w:eastAsia="宋体" w:cs="宋体"/>
                <w:b/>
                <w:sz w:val="18"/>
                <w:szCs w:val="18"/>
                <w:highlight w:val="none"/>
              </w:rPr>
            </w:pPr>
            <w:r>
              <w:rPr>
                <w:rFonts w:hint="eastAsia" w:ascii="宋体" w:hAnsi="宋体" w:eastAsia="宋体" w:cs="宋体"/>
                <w:b/>
                <w:sz w:val="18"/>
                <w:szCs w:val="18"/>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jc w:val="center"/>
              <w:rPr>
                <w:rFonts w:ascii="宋体" w:hAnsi="宋体" w:eastAsia="宋体" w:cs="宋体"/>
                <w:b/>
                <w:sz w:val="18"/>
                <w:szCs w:val="18"/>
                <w:highlight w:val="none"/>
              </w:rPr>
            </w:pPr>
            <w:r>
              <w:rPr>
                <w:rFonts w:hint="eastAsia" w:ascii="宋体" w:hAnsi="宋体" w:eastAsia="宋体" w:cs="宋体"/>
                <w:b/>
                <w:sz w:val="18"/>
                <w:szCs w:val="18"/>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jc w:val="center"/>
              <w:rPr>
                <w:rFonts w:ascii="宋体" w:hAnsi="宋体" w:eastAsia="宋体" w:cs="宋体"/>
                <w:b/>
                <w:sz w:val="18"/>
                <w:szCs w:val="18"/>
                <w:highlight w:val="none"/>
              </w:rPr>
            </w:pPr>
            <w:r>
              <w:rPr>
                <w:rFonts w:hint="eastAsia" w:ascii="宋体" w:hAnsi="宋体" w:eastAsia="宋体" w:cs="宋体"/>
                <w:b/>
                <w:sz w:val="18"/>
                <w:szCs w:val="18"/>
                <w:highlight w:val="none"/>
              </w:rPr>
              <w:t xml:space="preserve">得分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有效运行率（</w:t>
            </w:r>
            <w:r>
              <w:rPr>
                <w:rFonts w:ascii="宋体" w:hAnsi="宋体" w:eastAsia="宋体" w:cs="宋体"/>
                <w:sz w:val="18"/>
                <w:szCs w:val="18"/>
                <w:highlight w:val="none"/>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pStyle w:val="959"/>
              <w:ind w:left="0" w:firstLine="0"/>
              <w:spacing w:before="120" w:line="360" w:lineRule="auto"/>
              <w:rPr>
                <w:rFonts w:ascii="宋体" w:hAnsi="宋体" w:eastAsia="宋体" w:cs="宋体"/>
                <w:sz w:val="18"/>
                <w:szCs w:val="18"/>
                <w:highlight w:val="none"/>
              </w:rPr>
            </w:pPr>
            <w:r>
              <w:rPr>
                <w:highlight w:val="none"/>
              </w:rPr>
              <mc:AlternateContent>
                <mc:Choice Requires="wpg">
                  <w:drawing>
                    <wp:inline xmlns:wp="http://schemas.openxmlformats.org/drawingml/2006/wordprocessingDrawing" distT="0" distB="0" distL="0" distR="0">
                      <wp:extent cx="1748790" cy="217170"/>
                      <wp:effectExtent l="0" t="0" r="3810" b="1143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r/>
                            </pic:nvPicPr>
                            <pic:blipFill>
                              <a:blip r:embed="rId21"/>
                              <a:stretch/>
                            </pic:blipFill>
                            <pic:spPr bwMode="auto">
                              <a:xfrm>
                                <a:off x="0" y="0"/>
                                <a:ext cx="1748790" cy="217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7.7pt;height:17.1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highlight w:val="none"/>
              </w:rPr>
            </w:pPr>
            <w:r>
              <w:rPr>
                <w:rFonts w:hint="eastAsia" w:ascii="宋体" w:hAnsi="宋体" w:eastAsia="宋体" w:cs="宋体"/>
                <w:sz w:val="18"/>
                <w:szCs w:val="18"/>
                <w:highlight w:val="none"/>
              </w:rPr>
              <w:t xml:space="preserve">水站常规仪器有效运行率≥</w:t>
            </w:r>
            <w:r>
              <w:rPr>
                <w:rFonts w:ascii="宋体" w:hAnsi="宋体" w:eastAsia="宋体" w:cs="宋体"/>
                <w:sz w:val="18"/>
                <w:szCs w:val="18"/>
                <w:highlight w:val="none"/>
              </w:rPr>
              <w:t xml:space="preserve">93%得满分；93%＞有效运行率≥90%扣2分；90%＞有效率运行≥85%或现场存在故障仪器2天以上未修复的扣8分；有效运行率＜85%或现场仪器1个月以上未修复并且无备机替换的不得分；</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生物毒性仪、污染预警溯源仪、</w:t>
            </w:r>
            <w:r>
              <w:rPr>
                <w:rFonts w:ascii="宋体" w:hAnsi="宋体" w:eastAsia="宋体" w:cs="宋体"/>
                <w:sz w:val="18"/>
                <w:szCs w:val="18"/>
                <w:highlight w:val="none"/>
              </w:rPr>
              <w:t xml:space="preserve">VOCs在线监测仪、藻类分类仪每台仪器有效运行率≥85%得满分；85%＞有效率运行≥75%或现场存在故障仪器2天以上未修复的扣1分，75%＞有效运行率≥65%或现场仪器1个月以上未修复并且无备机替换的扣3分；低于65%扣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盲样考核合格率（</w:t>
            </w:r>
            <w:r>
              <w:rPr>
                <w:rFonts w:ascii="宋体" w:hAnsi="宋体" w:eastAsia="宋体" w:cs="宋体"/>
                <w:sz w:val="18"/>
                <w:szCs w:val="18"/>
                <w:highlight w:val="none"/>
              </w:rPr>
              <w:t xml:space="preserve">1</w:t>
            </w:r>
            <w:r>
              <w:rPr>
                <w:rFonts w:hint="eastAsia" w:ascii="宋体" w:hAnsi="宋体" w:eastAsia="宋体" w:cs="宋体"/>
                <w:sz w:val="18"/>
                <w:szCs w:val="18"/>
                <w:highlight w:val="none"/>
              </w:rPr>
              <w:t xml:space="preserve">2</w:t>
            </w:r>
            <w:r>
              <w:rPr>
                <w:rFonts w:ascii="宋体" w:hAnsi="宋体" w:eastAsia="宋体" w:cs="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m:oMath>
              <m:f>
                <m:fPr>
                  <m:ctrlPr>
                    <w:rPr>
                      <w:rFonts w:ascii="Cambria Math" w:hAnsi="Cambria Math" w:cs="宋体"/>
                      <w:iCs/>
                      <w:sz w:val="24"/>
                      <w:szCs w:val="28"/>
                      <w:highlight w:val="none"/>
                    </w:rPr>
                  </m:ctrlPr>
                </m:fPr>
                <m:num>
                  <m:r>
                    <w:rPr>
                      <w:rFonts w:hint="eastAsia" w:ascii="Cambria Math" w:hAnsi="Cambria Math" w:cs="宋体"/>
                      <w:sz w:val="24"/>
                      <w:szCs w:val="28"/>
                      <w:highlight w:val="none"/>
                    </w:rPr>
                    <m:rPr>
                      <m:sty m:val="p"/>
                    </m:rPr>
                    <m:t>标样合格次数</m:t>
                  </m:r>
                </m:num>
                <m:den>
                  <m:r>
                    <w:rPr>
                      <w:rFonts w:hint="eastAsia" w:ascii="Cambria Math" w:hAnsi="Cambria Math" w:cs="宋体"/>
                      <w:sz w:val="24"/>
                      <w:szCs w:val="28"/>
                      <w:highlight w:val="none"/>
                    </w:rPr>
                    <m:rPr>
                      <m:sty m:val="p"/>
                    </m:rPr>
                    <m:t>标样考核次数</m:t>
                  </m:r>
                </m:den>
              </m:f>
              <m:r>
                <w:rPr>
                  <w:rFonts w:ascii="Cambria Math" w:hAnsi="Cambria Math" w:cs="Cambria Math"/>
                  <w:sz w:val="24"/>
                  <w:szCs w:val="24"/>
                  <w:highlight w:val="none"/>
                </w:rPr>
                <m:rPr>
                  <m:sty m:val="p"/>
                </m:rPr>
                <m:t>×</m:t>
              </m:r>
              <m:r>
                <w:rPr>
                  <w:rFonts w:ascii="Cambria Math" w:hAnsi="Cambria Math" w:cs="宋体"/>
                  <w:sz w:val="21"/>
                  <w:szCs w:val="21"/>
                  <w:highlight w:val="none"/>
                </w:rPr>
                <m:rPr>
                  <m:sty m:val="p"/>
                </m:rPr>
                <m:t>1</m:t>
              </m:r>
            </m:oMath>
            <w:r>
              <w:rPr>
                <w:rFonts w:hAnsi="Cambria Math" w:cs="宋体"/>
                <w:iCs/>
                <w:sz w:val="21"/>
                <w:szCs w:val="21"/>
                <w:highlight w:val="none"/>
              </w:rPr>
              <w:t xml:space="preserve">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盲样考核合格率为</w:t>
            </w:r>
            <w:r>
              <w:rPr>
                <w:rFonts w:ascii="宋体" w:hAnsi="宋体" w:eastAsia="宋体" w:cs="宋体"/>
                <w:sz w:val="18"/>
                <w:szCs w:val="18"/>
                <w:highlight w:val="none"/>
              </w:rPr>
              <w:t xml:space="preserve">100%得满分；100%＞盲样考核合格率≥95%得9分；95%＞盲样考核合格率≥90%得8分；90%＞盲样考核合格率≥85%得2分；85%＞盲样考核合格率不得分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数据捕获率（9</w:t>
            </w:r>
            <w:r>
              <w:rPr>
                <w:rFonts w:ascii="宋体" w:hAnsi="宋体" w:eastAsia="宋体" w:cs="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highlight w:val="none"/>
              </w:rPr>
              <mc:AlternateContent>
                <mc:Choice Requires="wpg">
                  <w:drawing>
                    <wp:inline xmlns:wp="http://schemas.openxmlformats.org/drawingml/2006/wordprocessingDrawing" distT="0" distB="0" distL="0" distR="0">
                      <wp:extent cx="1748790" cy="258445"/>
                      <wp:effectExtent l="0" t="0" r="3810" b="8255"/>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r/>
                            </pic:nvPicPr>
                            <pic:blipFill>
                              <a:blip r:embed="rId22"/>
                              <a:stretch/>
                            </pic:blipFill>
                            <pic:spPr bwMode="auto">
                              <a:xfrm>
                                <a:off x="0" y="0"/>
                                <a:ext cx="1748790"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7.7pt;height:20.3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highlight w:val="none"/>
              </w:rPr>
            </w:pPr>
            <w:r>
              <w:rPr>
                <w:rFonts w:hint="eastAsia" w:ascii="宋体" w:hAnsi="宋体" w:eastAsia="宋体" w:cs="宋体"/>
                <w:sz w:val="18"/>
                <w:szCs w:val="18"/>
                <w:highlight w:val="none"/>
              </w:rPr>
              <w:t xml:space="preserve">常规仪器年度、月度捕获率≥</w:t>
            </w:r>
            <w:r>
              <w:rPr>
                <w:rFonts w:ascii="宋体" w:hAnsi="宋体" w:eastAsia="宋体" w:cs="宋体"/>
                <w:sz w:val="18"/>
                <w:szCs w:val="18"/>
                <w:highlight w:val="none"/>
              </w:rPr>
              <w:t xml:space="preserve">95%得</w:t>
            </w:r>
            <w:r>
              <w:rPr>
                <w:rFonts w:hint="eastAsia" w:ascii="宋体" w:hAnsi="宋体" w:eastAsia="宋体" w:cs="宋体"/>
                <w:sz w:val="18"/>
                <w:szCs w:val="18"/>
                <w:highlight w:val="none"/>
                <w:lang w:val="en-US" w:eastAsia="zh-CN"/>
              </w:rPr>
              <w:t xml:space="preserve">5</w:t>
            </w:r>
            <w:r>
              <w:rPr>
                <w:rFonts w:ascii="宋体" w:hAnsi="宋体" w:eastAsia="宋体" w:cs="宋体"/>
                <w:sz w:val="18"/>
                <w:szCs w:val="18"/>
                <w:highlight w:val="none"/>
              </w:rPr>
              <w:t xml:space="preserve">分；95%＞</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90%得</w:t>
            </w:r>
            <w:r>
              <w:rPr>
                <w:rFonts w:hint="eastAsia" w:ascii="宋体" w:hAnsi="宋体" w:eastAsia="宋体" w:cs="宋体"/>
                <w:sz w:val="18"/>
                <w:szCs w:val="18"/>
                <w:highlight w:val="none"/>
                <w:lang w:val="en-US" w:eastAsia="zh-CN"/>
              </w:rPr>
              <w:t xml:space="preserve">4</w:t>
            </w:r>
            <w:r>
              <w:rPr>
                <w:rFonts w:ascii="宋体" w:hAnsi="宋体" w:eastAsia="宋体" w:cs="宋体"/>
                <w:sz w:val="18"/>
                <w:szCs w:val="18"/>
                <w:highlight w:val="none"/>
              </w:rPr>
              <w:t xml:space="preserve">分；90%＞</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85%的得</w:t>
            </w:r>
            <w:r>
              <w:rPr>
                <w:rFonts w:hint="eastAsia" w:ascii="宋体" w:hAnsi="宋体" w:eastAsia="宋体" w:cs="宋体"/>
                <w:sz w:val="18"/>
                <w:szCs w:val="18"/>
                <w:highlight w:val="none"/>
              </w:rPr>
              <w:t xml:space="preserve">3</w:t>
            </w:r>
            <w:r>
              <w:rPr>
                <w:rFonts w:ascii="宋体" w:hAnsi="宋体" w:eastAsia="宋体" w:cs="宋体"/>
                <w:sz w:val="18"/>
                <w:szCs w:val="18"/>
                <w:highlight w:val="none"/>
              </w:rPr>
              <w:t xml:space="preserve">分；</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85%的不得分</w:t>
            </w:r>
            <w:r>
              <w:rPr>
                <w:rFonts w:hint="eastAsia" w:ascii="宋体" w:hAnsi="宋体" w:eastAsia="宋体" w:cs="宋体"/>
                <w:sz w:val="18"/>
                <w:szCs w:val="18"/>
                <w:highlight w:val="none"/>
              </w:rPr>
              <w:t xml:space="preserve">；</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生物毒性仪、污染预警溯源仪、</w:t>
            </w:r>
            <w:r>
              <w:rPr>
                <w:rFonts w:ascii="宋体" w:hAnsi="宋体" w:eastAsia="宋体" w:cs="宋体"/>
                <w:sz w:val="18"/>
                <w:szCs w:val="18"/>
                <w:highlight w:val="none"/>
              </w:rPr>
              <w:t xml:space="preserve">VOCs在线监测仪、藻类分类仪每台仪器</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85%得</w:t>
            </w:r>
            <w:r>
              <w:rPr>
                <w:rFonts w:hint="eastAsia" w:ascii="宋体" w:hAnsi="宋体" w:eastAsia="宋体" w:cs="宋体"/>
                <w:sz w:val="18"/>
                <w:szCs w:val="18"/>
                <w:highlight w:val="none"/>
                <w:lang w:val="en-US" w:eastAsia="zh-CN"/>
              </w:rPr>
              <w:t xml:space="preserve">4</w:t>
            </w:r>
            <w:r>
              <w:rPr>
                <w:rFonts w:ascii="宋体" w:hAnsi="宋体" w:eastAsia="宋体" w:cs="宋体"/>
                <w:sz w:val="18"/>
                <w:szCs w:val="18"/>
                <w:highlight w:val="none"/>
              </w:rPr>
              <w:t xml:space="preserve">分；85%＞</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80%得</w:t>
            </w:r>
            <w:r>
              <w:rPr>
                <w:rFonts w:hint="eastAsia" w:ascii="宋体" w:hAnsi="宋体" w:eastAsia="宋体" w:cs="宋体"/>
                <w:sz w:val="18"/>
                <w:szCs w:val="18"/>
                <w:highlight w:val="none"/>
                <w:lang w:val="en-US" w:eastAsia="zh-CN"/>
              </w:rPr>
              <w:t xml:space="preserve">3</w:t>
            </w:r>
            <w:r>
              <w:rPr>
                <w:rFonts w:ascii="宋体" w:hAnsi="宋体" w:eastAsia="宋体" w:cs="宋体"/>
                <w:sz w:val="18"/>
                <w:szCs w:val="18"/>
                <w:highlight w:val="none"/>
              </w:rPr>
              <w:t xml:space="preserve">分；80%＞</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75%的得</w:t>
            </w:r>
            <w:r>
              <w:rPr>
                <w:rFonts w:hint="eastAsia" w:ascii="宋体" w:hAnsi="宋体" w:eastAsia="宋体" w:cs="宋体"/>
                <w:sz w:val="18"/>
                <w:szCs w:val="18"/>
                <w:highlight w:val="none"/>
                <w:lang w:val="en-US" w:eastAsia="zh-CN"/>
              </w:rPr>
              <w:t xml:space="preserve">2</w:t>
            </w:r>
            <w:r>
              <w:rPr>
                <w:rFonts w:ascii="宋体" w:hAnsi="宋体" w:eastAsia="宋体" w:cs="宋体"/>
                <w:sz w:val="18"/>
                <w:szCs w:val="18"/>
                <w:highlight w:val="none"/>
              </w:rPr>
              <w:t xml:space="preserve">分；</w:t>
            </w:r>
            <w:r>
              <w:rPr>
                <w:rFonts w:hint="eastAsia" w:ascii="宋体" w:hAnsi="宋体" w:eastAsia="宋体" w:cs="宋体"/>
                <w:sz w:val="18"/>
                <w:szCs w:val="18"/>
                <w:highlight w:val="none"/>
              </w:rPr>
              <w:t xml:space="preserve">捕获率＜</w:t>
            </w:r>
            <w:r>
              <w:rPr>
                <w:rFonts w:ascii="宋体" w:hAnsi="宋体" w:eastAsia="宋体" w:cs="宋体"/>
                <w:sz w:val="18"/>
                <w:szCs w:val="18"/>
                <w:highlight w:val="none"/>
              </w:rPr>
              <w:t xml:space="preserve">75%的不得分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7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水样比对</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m:oMath>
              <m:f>
                <m:fPr>
                  <m:ctrlPr>
                    <w:rPr>
                      <w:rFonts w:ascii="Cambria Math" w:hAnsi="Cambria Math" w:cs="宋体"/>
                      <w:iCs/>
                      <w:sz w:val="24"/>
                      <w:szCs w:val="28"/>
                      <w:highlight w:val="none"/>
                    </w:rPr>
                  </m:ctrlPr>
                </m:fPr>
                <m:num>
                  <m:r>
                    <w:rPr>
                      <w:rFonts w:hint="eastAsia" w:ascii="Cambria Math" w:hAnsi="Cambria Math" w:cs="宋体"/>
                      <w:sz w:val="24"/>
                      <w:szCs w:val="28"/>
                      <w:highlight w:val="none"/>
                    </w:rPr>
                    <m:rPr>
                      <m:sty m:val="p"/>
                    </m:rPr>
                    <m:t>比对合格次数</m:t>
                  </m:r>
                </m:num>
                <m:den>
                  <m:r>
                    <w:rPr>
                      <w:rFonts w:hint="eastAsia" w:ascii="Cambria Math" w:hAnsi="Cambria Math" w:cs="宋体"/>
                      <w:sz w:val="24"/>
                      <w:szCs w:val="28"/>
                      <w:highlight w:val="none"/>
                    </w:rPr>
                    <m:rPr>
                      <m:sty m:val="p"/>
                    </m:rPr>
                    <m:t>水样比对次数</m:t>
                  </m:r>
                </m:den>
              </m:f>
              <m:r>
                <w:rPr>
                  <w:rFonts w:ascii="Cambria Math" w:hAnsi="Cambria Math" w:cs="Cambria Math"/>
                  <w:sz w:val="24"/>
                  <w:szCs w:val="24"/>
                  <w:highlight w:val="none"/>
                </w:rPr>
                <m:rPr>
                  <m:sty m:val="p"/>
                </m:rPr>
                <m:t>×</m:t>
              </m:r>
              <m:r>
                <w:rPr>
                  <w:rFonts w:ascii="Cambria Math" w:hAnsi="Cambria Math" w:cs="宋体"/>
                  <w:sz w:val="21"/>
                  <w:szCs w:val="21"/>
                  <w:highlight w:val="none"/>
                </w:rPr>
                <m:rPr>
                  <m:sty m:val="p"/>
                </m:rPr>
                <m:t>1</m:t>
              </m:r>
            </m:oMath>
            <w:r>
              <w:rPr>
                <w:rFonts w:hint="eastAsia" w:hAnsi="Cambria Math" w:cs="宋体"/>
                <w:iCs/>
                <w:sz w:val="21"/>
                <w:szCs w:val="21"/>
                <w:highlight w:val="none"/>
              </w:rPr>
              <w:t xml:space="preserve">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水样比对合格率</w:t>
            </w:r>
            <w:r>
              <w:rPr>
                <w:rFonts w:ascii="宋体" w:hAnsi="宋体" w:eastAsia="宋体" w:cs="宋体"/>
                <w:sz w:val="18"/>
                <w:szCs w:val="18"/>
                <w:highlight w:val="none"/>
              </w:rPr>
              <w:t xml:space="preserve">95%以上为满分，90%~95%得4分，80%~90%得2分，低于80%不得分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242" w:type="dxa"/>
            <w:vAlign w:val="center"/>
            <w:vMerge w:val="restart"/>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运维内容</w:t>
            </w:r>
            <w:r/>
          </w:p>
          <w:p>
            <w:pPr>
              <w:rPr>
                <w:rFonts w:ascii="宋体" w:hAnsi="宋体" w:eastAsia="宋体" w:cs="宋体"/>
                <w:sz w:val="18"/>
                <w:szCs w:val="18"/>
                <w:highlight w:val="none"/>
              </w:rPr>
            </w:pPr>
            <w:r>
              <w:rPr>
                <w:rFonts w:hint="eastAsia" w:ascii="宋体" w:hAnsi="宋体" w:eastAsia="宋体" w:cs="宋体"/>
                <w:sz w:val="18"/>
                <w:szCs w:val="18"/>
                <w:highlight w:val="none"/>
              </w:rPr>
              <w:t xml:space="preserve">（</w:t>
            </w:r>
            <w:r>
              <w:rPr>
                <w:rFonts w:ascii="宋体" w:hAnsi="宋体" w:eastAsia="宋体" w:cs="宋体"/>
                <w:sz w:val="18"/>
                <w:szCs w:val="18"/>
                <w:highlight w:val="none"/>
              </w:rPr>
              <w:t xml:space="preserve">17分）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站房（</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水、电、电话、空调（去湿）等满足要求，保证自动仪器具有良好的运行环境，站房卫生整洁、物品摆放有序得满分，否则酌情扣分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维护频次（</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满足每周运维</w:t>
            </w:r>
            <w:r>
              <w:rPr>
                <w:rFonts w:ascii="宋体" w:hAnsi="宋体" w:eastAsia="宋体" w:cs="宋体"/>
                <w:sz w:val="18"/>
                <w:szCs w:val="18"/>
                <w:highlight w:val="none"/>
              </w:rPr>
              <w:t xml:space="preserve">1次，定期进行电极清洗和管路清洗，到站率不足一周一次不得分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自动监测仪器（</w:t>
            </w:r>
            <w:r>
              <w:rPr>
                <w:rFonts w:ascii="宋体" w:hAnsi="宋体" w:eastAsia="宋体" w:cs="宋体"/>
                <w:sz w:val="18"/>
                <w:szCs w:val="18"/>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定期更换试剂、定期更换易耗品；定期校准仪器；仪器故障及时报修，相应仪器及校正参数在正常范围内得满分，否则酌情扣分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采水、配水系统的维护（</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及时维护，保证采水系统通畅运行防止管路堵塞或破裂得满分，否则酌情扣分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数据一致性（</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仪器上传数据与工控机数据库获取数据一致得满分，否则不得分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通讯（</w:t>
            </w:r>
            <w:r>
              <w:rPr>
                <w:rFonts w:ascii="宋体" w:hAnsi="宋体" w:eastAsia="宋体" w:cs="宋体"/>
                <w:sz w:val="18"/>
                <w:szCs w:val="18"/>
                <w:highlight w:val="none"/>
              </w:rPr>
              <w:t xml:space="preserve">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水站保证电话和无线通讯线路的畅通得满分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仪器运行记录（</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运维记录、质控记录、试剂更换，备品备件更换等记录齐全，档案完整、准确、整洁得满分，否则酌情扣分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视频监控（</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视频监控是否正常使用，否则酌情扣分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tcBorders>
              <w:top w:val="single" w:color="000000" w:sz="4" w:space="0"/>
              <w:left w:val="single" w:color="000000" w:sz="4" w:space="0"/>
              <w:right w:val="single" w:color="000000" w:sz="4" w:space="0"/>
            </w:tcBorders>
            <w:tcMar>
              <w:left w:w="108" w:type="dxa"/>
              <w:top w:w="0" w:type="dxa"/>
              <w:right w:w="108" w:type="dxa"/>
              <w:bottom w:w="0" w:type="dxa"/>
            </w:tcMar>
            <w:tcW w:w="1242" w:type="dxa"/>
            <w:vAlign w:val="center"/>
            <w:vMerge w:val="restart"/>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日常质控结果（</w:t>
            </w:r>
            <w:r>
              <w:rPr>
                <w:rFonts w:ascii="宋体" w:hAnsi="宋体" w:eastAsia="宋体" w:cs="宋体"/>
                <w:sz w:val="18"/>
                <w:szCs w:val="18"/>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标液核查（</w:t>
            </w:r>
            <w:r>
              <w:rPr>
                <w:rFonts w:ascii="宋体" w:hAnsi="宋体" w:eastAsia="宋体" w:cs="宋体"/>
                <w:sz w:val="18"/>
                <w:szCs w:val="18"/>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标液核查合格率</w:t>
            </w:r>
            <w:r>
              <w:rPr>
                <w:rFonts w:ascii="宋体" w:hAnsi="宋体" w:eastAsia="宋体" w:cs="宋体"/>
                <w:sz w:val="18"/>
                <w:szCs w:val="18"/>
                <w:highlight w:val="none"/>
              </w:rPr>
              <w:t xml:space="preserve">100%为满分，90%~100%得3分，低于90%不得分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466"/>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加标回收（</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加标回收合格率</w:t>
            </w:r>
            <w:r>
              <w:rPr>
                <w:rFonts w:ascii="宋体" w:hAnsi="宋体" w:eastAsia="宋体" w:cs="宋体"/>
                <w:sz w:val="18"/>
                <w:szCs w:val="18"/>
                <w:highlight w:val="none"/>
              </w:rPr>
              <w:t xml:space="preserve">100%为满分，90%~100%得2分，低于90%不得分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left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多点线性核查（</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多点线性合格率≥</w:t>
            </w:r>
            <w:r>
              <w:rPr>
                <w:rFonts w:ascii="宋体" w:hAnsi="宋体" w:eastAsia="宋体" w:cs="宋体"/>
                <w:sz w:val="18"/>
                <w:szCs w:val="18"/>
                <w:highlight w:val="none"/>
              </w:rPr>
              <w:t xml:space="preserve">95%为满分，85%~95%得1分，低于85%不得分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tcBorders>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集成干预核查（</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集中干预合格率≥</w:t>
            </w:r>
            <w:r>
              <w:rPr>
                <w:rFonts w:ascii="宋体" w:hAnsi="宋体" w:eastAsia="宋体" w:cs="宋体"/>
                <w:sz w:val="18"/>
                <w:szCs w:val="18"/>
                <w:highlight w:val="none"/>
              </w:rPr>
              <w:t xml:space="preserve">95%为满分，85%~95%得1分，低于85%不得分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restart"/>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运维响应（</w:t>
            </w:r>
            <w:r>
              <w:rPr>
                <w:rFonts w:ascii="宋体" w:hAnsi="宋体" w:eastAsia="宋体" w:cs="宋体"/>
                <w:sz w:val="18"/>
                <w:szCs w:val="18"/>
                <w:highlight w:val="none"/>
              </w:rPr>
              <w:t xml:space="preserve">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应急响应</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4分</w:t>
            </w:r>
            <w:r>
              <w:rPr>
                <w:rFonts w:hint="eastAsia" w:ascii="宋体" w:hAnsi="宋体" w:eastAsia="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对水质异常按要求响应及时且能够及时判断仪器状态得满分，否则酌情扣分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故障响应</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4分</w:t>
            </w:r>
            <w:r>
              <w:rPr>
                <w:rFonts w:hint="eastAsia" w:ascii="宋体" w:hAnsi="宋体" w:eastAsia="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站点故障时按要求响应迅速且解决及时得满分，否则酌情扣分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反馈信息</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4分</w:t>
            </w:r>
            <w:r>
              <w:rPr>
                <w:rFonts w:hint="eastAsia" w:ascii="宋体" w:hAnsi="宋体" w:eastAsia="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能够按要求及时反映水质、仪器故障信息得满分，否则酌情扣分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restart"/>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运维保障（</w:t>
            </w:r>
            <w:r>
              <w:rPr>
                <w:rFonts w:ascii="宋体" w:hAnsi="宋体" w:eastAsia="宋体" w:cs="宋体"/>
                <w:sz w:val="18"/>
                <w:szCs w:val="18"/>
                <w:highlight w:val="none"/>
              </w:rPr>
              <w:t xml:space="preserve">1</w:t>
            </w:r>
            <w:r>
              <w:rPr>
                <w:rFonts w:hint="eastAsia" w:ascii="宋体" w:hAnsi="宋体" w:eastAsia="宋体" w:cs="宋体"/>
                <w:sz w:val="18"/>
                <w:szCs w:val="18"/>
                <w:highlight w:val="none"/>
              </w:rPr>
              <w:t xml:space="preserve">4</w:t>
            </w:r>
            <w:r>
              <w:rPr>
                <w:rFonts w:ascii="宋体" w:hAnsi="宋体" w:eastAsia="宋体" w:cs="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持证上岗（</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技术人员持证上岗</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运维技术保障（</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人员技术水平高，能及时解决相关故障，否则酌情扣分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运维人员、车辆保障（</w:t>
            </w:r>
            <w:r>
              <w:rPr>
                <w:rFonts w:ascii="宋体" w:hAnsi="宋体" w:eastAsia="宋体" w:cs="宋体"/>
                <w:sz w:val="18"/>
                <w:szCs w:val="18"/>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按照响应文件中承诺的人员和车辆配置的得满分，否则酌情扣分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实验室保障（</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在有资质的实验室配制试剂、标液得满分，否则酌情扣分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备品备件（</w:t>
            </w:r>
            <w:r>
              <w:rPr>
                <w:rFonts w:ascii="宋体" w:hAnsi="宋体" w:eastAsia="宋体" w:cs="宋体"/>
                <w:sz w:val="18"/>
                <w:szCs w:val="18"/>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备品备件按合同及时提供、记录填写完整得满分，否则酌情扣分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r>
        <w:trPr>
          <w:jc w:val="center"/>
          <w:trHeight w:val="2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vMerge w:val="continue"/>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年度维护（</w:t>
            </w:r>
            <w:r>
              <w:rPr>
                <w:rFonts w:ascii="宋体" w:hAnsi="宋体" w:eastAsia="宋体" w:cs="宋体"/>
                <w:sz w:val="18"/>
                <w:szCs w:val="18"/>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按照运维方案完成年度维护得</w:t>
            </w:r>
            <w:r>
              <w:rPr>
                <w:rFonts w:hint="eastAsia" w:ascii="宋体" w:hAnsi="宋体" w:eastAsia="宋体" w:cs="宋体"/>
                <w:sz w:val="18"/>
                <w:szCs w:val="18"/>
                <w:highlight w:val="none"/>
                <w:lang w:val="en-US" w:eastAsia="zh-CN"/>
              </w:rPr>
              <w:t xml:space="preserve">满</w:t>
            </w:r>
            <w:r>
              <w:rPr>
                <w:rFonts w:hint="eastAsia" w:ascii="宋体" w:hAnsi="宋体" w:eastAsia="宋体" w:cs="宋体"/>
                <w:sz w:val="18"/>
                <w:szCs w:val="18"/>
                <w:highlight w:val="none"/>
              </w:rPr>
              <w:t xml:space="preserve">分，否则不得分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ascii="宋体" w:hAnsi="宋体" w:eastAsia="宋体" w:cs="宋体"/>
                <w:sz w:val="18"/>
                <w:szCs w:val="18"/>
                <w:highlight w:val="none"/>
              </w:rPr>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5"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合计（分）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6" w:type="dxa"/>
            <w:vAlign w:val="center"/>
            <w:textDirection w:val="lrTb"/>
            <w:noWrap w:val="false"/>
          </w:tcPr>
          <w:p>
            <w:pPr>
              <w:rPr>
                <w:rFonts w:ascii="宋体" w:hAnsi="宋体" w:eastAsia="宋体" w:cs="宋体"/>
                <w:sz w:val="18"/>
                <w:szCs w:val="18"/>
                <w:highlight w:val="none"/>
              </w:rPr>
            </w:pPr>
            <w:r>
              <w:rPr>
                <w:rFonts w:hint="eastAsia" w:ascii="宋体" w:hAnsi="宋体" w:eastAsia="宋体" w:cs="宋体"/>
                <w:sz w:val="18"/>
                <w:szCs w:val="18"/>
                <w:highlight w:val="none"/>
              </w:rPr>
              <w:t xml:space="preserve">　</w:t>
            </w:r>
            <w:r/>
          </w:p>
        </w:tc>
      </w:tr>
    </w:tbl>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1、数据有效率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（1）正常运行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正常运行期间数据有效率=（应获取数据-无效数据）/应获取数据</w:t>
      </w:r>
      <m:oMath>
        <m:r>
          <w:rPr>
            <w:rFonts w:ascii="Cambria Math" w:hAnsi="Cambria Math" w:eastAsia="仿宋_GB2312" w:cs="Cambria Math"/>
            <w:sz w:val="24"/>
            <w:highlight w:val="none"/>
          </w:rPr>
          <m:rPr>
            <m:sty m:val="p"/>
          </m:rPr>
          <m:t>×</m:t>
        </m:r>
      </m:oMath>
      <w:r>
        <w:rPr>
          <w:rFonts w:hint="eastAsia" w:ascii="宋体" w:hAnsi="宋体" w:eastAsia="宋体" w:cs="宋体"/>
          <w:sz w:val="24"/>
          <w:szCs w:val="24"/>
          <w:highlight w:val="none"/>
        </w:rPr>
        <w:t xml:space="preserve">100%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（2）非正常运行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480"/>
        <w:spacing w:line="360" w:lineRule="auto"/>
        <w:rPr>
          <w:rFonts w:ascii="宋体" w:hAnsi="宋体" w:eastAsia="宋体" w:cs="宋体"/>
          <w:sz w:val="24"/>
          <w:szCs w:val="24"/>
          <w:highlight w:val="none"/>
        </w:rPr>
      </w:pPr>
      <w:r>
        <w:rPr>
          <w:rFonts w:hint="eastAsia" w:ascii="仿宋_GB2312" w:hAnsi="仿宋_GB2312" w:eastAsia="仿宋_GB2312" w:cs="仿宋_GB2312"/>
          <w:sz w:val="24"/>
          <w:szCs w:val="24"/>
          <w:highlight w:val="none"/>
        </w:rPr>
        <w:t xml:space="preserve">①</w:t>
      </w:r>
      <w:r>
        <w:rPr>
          <w:rFonts w:hint="eastAsia" w:ascii="宋体" w:hAnsi="宋体" w:eastAsia="宋体" w:cs="宋体"/>
          <w:sz w:val="24"/>
          <w:szCs w:val="24"/>
          <w:highlight w:val="none"/>
        </w:rPr>
        <w:t xml:space="preserve">具备补充监测条件的，根据相关要求，供应商应对非正常运行水站开展补充监测。补测的数据应满足相关质控要求，并应在规定的时间内上传平台，否则按无效数据处理。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计算公式：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非正常运行期间数据有效率=（实际补测数据-无效数据）/应补测数据</w:t>
      </w:r>
      <m:oMath>
        <m:r>
          <w:rPr>
            <w:rFonts w:ascii="Cambria Math" w:hAnsi="Cambria Math" w:eastAsia="仿宋_GB2312" w:cs="Cambria Math"/>
            <w:sz w:val="24"/>
            <w:highlight w:val="none"/>
          </w:rPr>
          <m:rPr>
            <m:sty m:val="p"/>
          </m:rPr>
          <m:t>×</m:t>
        </m:r>
      </m:oMath>
      <w:r>
        <w:rPr>
          <w:rFonts w:hint="eastAsia" w:ascii="宋体" w:hAnsi="宋体" w:eastAsia="宋体" w:cs="宋体"/>
          <w:sz w:val="24"/>
          <w:szCs w:val="24"/>
          <w:highlight w:val="none"/>
        </w:rPr>
        <w:t xml:space="preserve">100%</w:t>
      </w:r>
      <w:r/>
    </w:p>
    <w:p>
      <w:pPr>
        <w:ind w:firstLine="480"/>
        <w:spacing w:line="360" w:lineRule="auto"/>
        <w:rPr>
          <w:rFonts w:ascii="宋体" w:hAnsi="宋体" w:eastAsia="宋体" w:cs="宋体"/>
          <w:sz w:val="24"/>
          <w:szCs w:val="24"/>
          <w:highlight w:val="none"/>
        </w:rPr>
      </w:pPr>
      <w:r>
        <w:rPr>
          <w:rFonts w:hint="eastAsia" w:ascii="仿宋_GB2312" w:hAnsi="仿宋_GB2312" w:eastAsia="仿宋_GB2312" w:cs="仿宋_GB2312"/>
          <w:sz w:val="24"/>
          <w:szCs w:val="24"/>
          <w:highlight w:val="none"/>
        </w:rPr>
        <w:t xml:space="preserve">②</w:t>
      </w:r>
      <w:r>
        <w:rPr>
          <w:rFonts w:hint="eastAsia" w:ascii="宋体" w:hAnsi="宋体" w:eastAsia="宋体" w:cs="宋体"/>
          <w:sz w:val="24"/>
          <w:szCs w:val="24"/>
          <w:highlight w:val="none"/>
        </w:rPr>
        <w:t xml:space="preserve">不具备补充监测条件的，乙方有义务采取必要措施最大限度的减少国家财产的损失，包括仪器设备保管以及必要性维护工作。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2、有效运行率</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有效运行率的计算方法如下：</w:t>
      </w:r>
      <w:r/>
    </w:p>
    <w:p>
      <w:pPr>
        <w:pStyle w:val="959"/>
        <w:ind w:left="0" w:firstLine="480"/>
        <w:spacing w:before="120" w:line="360" w:lineRule="auto"/>
        <w:rPr>
          <w:rFonts w:hAnsi="Cambria Math" w:eastAsia="仿宋_GB2312" w:cs="Cambria Math"/>
          <w:highlight w:val="none"/>
        </w:rPr>
      </w:pPr>
      <w:r/>
      <m:oMathPara>
        <m:oMathParaPr/>
        <m:oMath>
          <m:r>
            <w:rPr>
              <w:rFonts w:hint="eastAsia" w:ascii="Cambria Math" w:hAnsi="Cambria Math" w:eastAsia="仿宋_GB2312"/>
              <w:highlight w:val="none"/>
            </w:rPr>
            <m:rPr>
              <m:sty m:val="p"/>
            </m:rPr>
            <m:t>有效运行率</m:t>
          </m:r>
          <m:r>
            <w:rPr>
              <w:rFonts w:ascii="Cambria Math" w:hAnsi="Cambria Math" w:eastAsia="仿宋_GB2312"/>
              <w:highlight w:val="none"/>
            </w:rPr>
            <m:rPr>
              <m:sty m:val="p"/>
            </m:rPr>
            <m:t>=</m:t>
          </m:r>
          <m:f>
            <m:fPr>
              <m:ctrlPr>
                <w:rPr>
                  <w:rFonts w:ascii="Cambria Math" w:hAnsi="Cambria Math" w:eastAsia="仿宋_GB2312"/>
                  <w:highlight w:val="none"/>
                </w:rPr>
              </m:ctrlPr>
            </m:fPr>
            <m:num>
              <m:r>
                <w:rPr>
                  <w:rFonts w:hint="eastAsia" w:ascii="Cambria Math" w:hAnsi="Cambria Math" w:eastAsia="仿宋_GB2312"/>
                  <w:highlight w:val="none"/>
                </w:rPr>
                <m:rPr>
                  <m:sty m:val="p"/>
                </m:rPr>
                <m:t>应获取数据</m:t>
              </m:r>
              <m:r>
                <w:rPr>
                  <w:rFonts w:ascii="Cambria Math" w:hAnsi="Cambria Math" w:eastAsia="仿宋_GB2312"/>
                  <w:highlight w:val="none"/>
                </w:rPr>
                <m:rPr>
                  <m:sty m:val="p"/>
                </m:rPr>
                <m:t>−无效数据</m:t>
              </m:r>
            </m:num>
            <m:den>
              <m:r>
                <w:rPr>
                  <w:rFonts w:hint="eastAsia" w:ascii="Cambria Math" w:hAnsi="Cambria Math" w:eastAsia="仿宋_GB2312"/>
                  <w:highlight w:val="none"/>
                </w:rPr>
                <m:rPr>
                  <m:sty m:val="p"/>
                </m:rPr>
                <m:t>天数</m:t>
              </m:r>
              <m:r>
                <w:rPr>
                  <w:rFonts w:ascii="Cambria Math" w:hAnsi="Cambria Math" w:eastAsia="仿宋_GB2312"/>
                  <w:highlight w:val="none"/>
                </w:rPr>
                <m:rPr>
                  <m:sty m:val="p"/>
                </m:rPr>
                <m:t>×</m:t>
              </m:r>
              <m:r>
                <w:rPr>
                  <w:rFonts w:hint="eastAsia" w:ascii="Cambria Math" w:hAnsi="Cambria Math" w:eastAsia="仿宋_GB2312"/>
                  <w:highlight w:val="none"/>
                </w:rPr>
                <m:rPr>
                  <m:sty m:val="p"/>
                </m:rPr>
                <m:t>日监测次数</m:t>
              </m:r>
              <m:r>
                <w:rPr>
                  <w:rFonts w:ascii="Cambria Math" w:hAnsi="Cambria Math" w:eastAsia="仿宋_GB2312"/>
                  <w:highlight w:val="none"/>
                </w:rPr>
                <m:rPr>
                  <m:sty m:val="p"/>
                </m:rPr>
                <m:t>×</m:t>
              </m:r>
              <m:r>
                <w:rPr>
                  <w:rFonts w:hint="eastAsia" w:ascii="Cambria Math" w:hAnsi="Cambria Math" w:eastAsia="仿宋_GB2312"/>
                  <w:highlight w:val="none"/>
                </w:rPr>
                <m:rPr>
                  <m:sty m:val="p"/>
                </m:rPr>
                <m:t>监测项目数</m:t>
              </m:r>
            </m:den>
          </m:f>
          <m:r>
            <w:rPr>
              <w:rFonts w:ascii="Cambria Math" w:hAnsi="Cambria Math" w:eastAsia="仿宋_GB2312" w:cs="Cambria Math"/>
              <w:highlight w:val="none"/>
            </w:rPr>
            <m:rPr>
              <m:sty m:val="p"/>
            </m:rPr>
            <m:t>×100</m:t>
          </m:r>
        </m:oMath>
      </m:oMathPara>
      <w:r/>
      <w:r/>
    </w:p>
    <w:p>
      <w:pPr>
        <w:pStyle w:val="959"/>
        <w:ind w:left="0" w:firstLine="480"/>
        <w:spacing w:before="120" w:line="360" w:lineRule="auto"/>
        <w:rPr>
          <w:rFonts w:ascii="宋体" w:hAnsi="宋体" w:eastAsia="宋体" w:cs="宋体"/>
          <w:szCs w:val="24"/>
          <w:highlight w:val="none"/>
        </w:rPr>
      </w:pPr>
      <w:r>
        <w:rPr>
          <w:rFonts w:hint="eastAsia" w:ascii="宋体" w:hAnsi="宋体" w:eastAsia="宋体" w:cs="宋体"/>
          <w:szCs w:val="24"/>
          <w:highlight w:val="none"/>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pStyle w:val="956"/>
        <w:ind w:firstLine="480"/>
        <w:jc w:val="left"/>
        <w:spacing w:line="360" w:lineRule="auto"/>
        <w:tabs>
          <w:tab w:val="left" w:pos="45" w:leader="none"/>
          <w:tab w:val="center" w:pos="41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3、数据捕获率</w:t>
      </w:r>
      <w:r/>
    </w:p>
    <w:p>
      <w:pPr>
        <w:pStyle w:val="959"/>
        <w:spacing w:line="360" w:lineRule="auto"/>
        <w:rPr>
          <w:rFonts w:ascii="Times New Roman" w:hAnsi="Times New Roman" w:eastAsia="仿宋_GB2312" w:cs="Cambria Math"/>
          <w:highlight w:val="none"/>
        </w:rPr>
      </w:pPr>
      <w:r/>
      <m:oMathPara>
        <m:oMathParaPr/>
        <m:oMath>
          <m:r>
            <w:rPr>
              <w:rFonts w:hint="eastAsia" w:ascii="Cambria Math" w:hAnsi="Cambria Math" w:eastAsia="仿宋_GB2312"/>
              <w:highlight w:val="none"/>
            </w:rPr>
            <m:rPr>
              <m:sty m:val="p"/>
            </m:rPr>
            <m:t>数据捕获率</m:t>
          </m:r>
          <m:r>
            <w:rPr>
              <w:rFonts w:ascii="Cambria Math" w:hAnsi="Cambria Math" w:eastAsia="仿宋_GB2312"/>
              <w:highlight w:val="none"/>
            </w:rPr>
            <m:rPr>
              <m:sty m:val="p"/>
            </m:rPr>
            <m:t>=</m:t>
          </m:r>
          <m:f>
            <m:fPr>
              <m:ctrlPr>
                <w:rPr>
                  <w:rFonts w:ascii="Cambria Math" w:hAnsi="Cambria Math" w:eastAsia="仿宋_GB2312"/>
                  <w:highlight w:val="none"/>
                </w:rPr>
              </m:ctrlPr>
            </m:fPr>
            <m:num>
              <m:r>
                <w:rPr>
                  <w:rFonts w:hint="eastAsia" w:ascii="Cambria Math" w:hAnsi="Cambria Math" w:eastAsia="仿宋_GB2312" w:cs="宋体"/>
                  <w:szCs w:val="24"/>
                  <w:highlight w:val="none"/>
                </w:rPr>
                <m:rPr>
                  <m:sty m:val="p"/>
                </m:rPr>
                <m:t>应获取数据</m:t>
              </m:r>
            </m:num>
            <m:den>
              <m:r>
                <w:rPr>
                  <w:rFonts w:hint="eastAsia" w:ascii="Cambria Math" w:hAnsi="Cambria Math" w:eastAsia="仿宋_GB2312"/>
                  <w:highlight w:val="none"/>
                </w:rPr>
                <m:rPr>
                  <m:sty m:val="p"/>
                </m:rPr>
                <m:t>天数</m:t>
              </m:r>
              <m:r>
                <w:rPr>
                  <w:rFonts w:ascii="Cambria Math" w:hAnsi="Cambria Math" w:eastAsia="仿宋_GB2312"/>
                  <w:highlight w:val="none"/>
                </w:rPr>
                <m:rPr>
                  <m:sty m:val="p"/>
                </m:rPr>
                <m:t>×</m:t>
              </m:r>
              <m:r>
                <w:rPr>
                  <w:rFonts w:hint="eastAsia" w:ascii="Cambria Math" w:hAnsi="Cambria Math" w:eastAsia="仿宋_GB2312"/>
                  <w:highlight w:val="none"/>
                </w:rPr>
                <m:rPr>
                  <m:sty m:val="p"/>
                </m:rPr>
                <m:t>日监测次数</m:t>
              </m:r>
              <m:r>
                <w:rPr>
                  <w:rFonts w:ascii="Cambria Math" w:hAnsi="Cambria Math" w:eastAsia="仿宋_GB2312"/>
                  <w:highlight w:val="none"/>
                </w:rPr>
                <m:rPr>
                  <m:sty m:val="p"/>
                </m:rPr>
                <m:t>×</m:t>
              </m:r>
              <m:r>
                <w:rPr>
                  <w:rFonts w:hint="eastAsia" w:ascii="Cambria Math" w:hAnsi="Cambria Math" w:eastAsia="仿宋_GB2312"/>
                  <w:highlight w:val="none"/>
                </w:rPr>
                <m:rPr>
                  <m:sty m:val="p"/>
                </m:rPr>
                <m:t>监测项目数</m:t>
              </m:r>
            </m:den>
          </m:f>
          <m:r>
            <w:rPr>
              <w:rFonts w:ascii="Cambria Math" w:hAnsi="Cambria Math" w:eastAsia="仿宋_GB2312" w:cs="Cambria Math"/>
              <w:highlight w:val="none"/>
            </w:rPr>
            <m:rPr>
              <m:sty m:val="p"/>
            </m:rPr>
            <m:t>×100</m:t>
          </m:r>
        </m:oMath>
      </m:oMathPara>
      <w:r/>
      <w:r/>
    </w:p>
    <w:p>
      <w:pPr>
        <w:pStyle w:val="959"/>
        <w:ind w:left="0" w:firstLine="480"/>
        <w:jc w:val="left"/>
        <w:spacing w:before="120"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供应商应保证在运营维护管理期内，常规仪器年度、月度监测数据捕获率≥95%，生物毒性、污染预警溯源、VOCs及藻类在线分析仪年度、月度监测数据捕获率≥85%，数据误差符合检测项目性能指标要求。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金墅港、渔洋山水站采用间歇测定情况下自动站数据为2小时/次，应保证每天至少8组数据。太阳能水站在正常使用的情况下，采用间歇测定情况下自动站数据为4小时/次，应保证每天至少4组数据。</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异常情况处理的要求：当水站监测数据发现异常或发现所在断面发生污染事故时，应及时响应、核实水质自动站异常数据，配合相关部门做好污染应急监测工作；且须2小时内报告采购单位，并保证系统仪器正常运行，监测数据准确，传输畅通，并协助采购单位在必要时做好水站周边水系情况调查及污染溯源排查工作。</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5、数据档案管理的要求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供应商每月定期向采购单位提交《水站运行情况月分析报告》等报告，向采购单位陈述水站的运行状况和事件处理情况。每半年向采购单位提交《金墅港、渔洋山水质自动监测及数据管理运行总结》、《金墅港、渔洋山水质自动监测的运维及数据分析报告》。出现异常数据应在排除仪器故障情况下不定期发送</w:t>
      </w:r>
      <w:r>
        <w:rPr>
          <w:rFonts w:hint="eastAsia" w:ascii="宋体" w:hAnsi="宋体" w:eastAsia="宋体" w:cs="宋体"/>
          <w:color w:val="auto"/>
          <w:sz w:val="24"/>
          <w:szCs w:val="24"/>
          <w:highlight w:val="none"/>
        </w:rPr>
        <w:t xml:space="preserve">超标预警信息，保证各类运行维护、分析报告及时、准确提供，报告错误率和网站数据发布率与考核分值挂钩，多次警告没有改善，加倍扣分。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val="en-US" w:eastAsia="zh-CN"/>
        </w:rPr>
        <w:t xml:space="preserve">3饮用水源地水站智能化升级改造服务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任选一个水站进行</w:t>
      </w:r>
      <w:r>
        <w:rPr>
          <w:rFonts w:hint="eastAsia" w:ascii="宋体" w:hAnsi="宋体" w:eastAsia="宋体" w:cs="宋体"/>
          <w:color w:val="auto"/>
          <w:sz w:val="24"/>
          <w:szCs w:val="24"/>
          <w:highlight w:val="none"/>
          <w:lang w:val="en-US" w:eastAsia="zh-CN"/>
        </w:rPr>
        <w:t xml:space="preserve">智能</w:t>
      </w:r>
      <w:r>
        <w:rPr>
          <w:rFonts w:hint="eastAsia" w:ascii="宋体" w:hAnsi="宋体" w:eastAsia="宋体" w:cs="宋体"/>
          <w:color w:val="auto"/>
          <w:sz w:val="24"/>
          <w:szCs w:val="24"/>
          <w:highlight w:val="none"/>
        </w:rPr>
        <w:t xml:space="preserve">化升级服务。升级后的</w:t>
      </w:r>
      <w:r>
        <w:rPr>
          <w:rFonts w:hint="eastAsia" w:ascii="宋体" w:hAnsi="宋体" w:eastAsia="宋体" w:cs="宋体"/>
          <w:color w:val="auto"/>
          <w:sz w:val="24"/>
          <w:szCs w:val="24"/>
          <w:highlight w:val="none"/>
          <w:lang w:val="en-US" w:eastAsia="zh-CN"/>
        </w:rPr>
        <w:t xml:space="preserve">智能</w:t>
      </w:r>
      <w:r>
        <w:rPr>
          <w:rFonts w:hint="eastAsia" w:ascii="宋体" w:hAnsi="宋体" w:eastAsia="宋体" w:cs="宋体"/>
          <w:color w:val="auto"/>
          <w:sz w:val="24"/>
          <w:szCs w:val="24"/>
          <w:highlight w:val="none"/>
        </w:rPr>
        <w:t xml:space="preserve">化水站，在传统水站功能基础上，需具备常规五参数（水温、pH、溶解氧、电导率、浊度）、高锰酸盐指数、氨氮、总磷、总氮等关键指标的自动化监测能力，集成自动巡检、智能质控、智能审核等功能。具体功能要求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自动巡检：可实时监控仪器设备及集成系统运行状态，预警潜在问题</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质控：（1）常规五参数。除水温外，具备自动质控（自动校准、自动核查等）及自动清洗功能，各指标至少能完成两个浓度标液测试（溶解氧进行零氧、饱和氧测试）；具备异常报警功能，如超限报警、故障报警等；（2）高锰酸盐指数、氨氮、总磷、总氮。支持远程自动配制指定浓度标液，实现自动多点线性测试、自动加标回收率测试、动态标样测试等功能，并自动记录加标、配标体积、核查浓度等关键参数，支撑操作追溯。</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智能审核：实现数据智能审核、异常数据判断、质控结果判定等功能</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6.3惩罚办法：</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6.3.1一旦发现监测数据弄虚作假行为，采购单位有权立即终止合同,并按已支付费用的双倍进行经济处罚并追究法律责任。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6.3.2对每个站点单独考核，各站点均分大于等于90分为合格</w:t>
      </w:r>
      <w:r>
        <w:rPr>
          <w:rFonts w:hint="eastAsia" w:ascii="宋体" w:hAnsi="宋体" w:eastAsia="宋体" w:cs="宋体"/>
          <w:color w:val="auto"/>
          <w:sz w:val="24"/>
          <w:szCs w:val="24"/>
          <w:highlight w:val="none"/>
          <w:lang w:val="en-US" w:eastAsia="zh-CN"/>
        </w:rPr>
        <w:t xml:space="preserve">不扣款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其余</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（1）单次考核各站点均分在80分（含）以上，90分以下，为初级警告，扣除服务费</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（2）单次考核各站点均分在70分（含）以上，80分以下，为二级警告，扣除服务费</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（3）单次考核各站点均分在70分以下，扣除服务费</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0万元。</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en-US" w:eastAsia="zh-CN"/>
        </w:rPr>
        <w:t xml:space="preserve">3饮用水水站因运维出现问题，被上级部门通报的，每通报一次扣1万元。</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如果供应商服务人员或队伍发生重大变更，无法按质开展运行维护工作，或者发生重大责任事故的，采购单位有权提前取消服务合同。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供应商未能有效开展运行维护工作，水站或仪器平均有效运行率连续2周低于80%或2个以上水站有效运行率连续2月低于80%、质控考核合格率连续2月低于70%，或在检查中发现与响应文件或合同不符的重大不符合项，采购单位有权提前取消服务合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因考核不合格解除合同前，采购单位将对水质自动站进行资产后评估，若达不到考核要求，将由供应商进行限期修复，或由新的托管方进行修复，并由托管站进行验收，所需费用由原供应商承担；如原供应商不配合采购单位工作，拒绝对水站仪器进行修复或支付费用的，采购单位有权将供应商列入黑名单并在全市环保系统内进行通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工作人员管理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项目实施过程中，供应商应根据合同安排符合采购单位要求的人员负责运行维护工作，服务期内服务人员应在采购单位指定地点开展相关工作。供应商不得随意更换服务人员。采购单位定期对运行维护进行考核，违反保密工作规定或出现重大工作失误的采购单位有权要求更换，并根据情况扣减运行维护费。水质综合分析人员须达到采购单位要求配合开展相关工作，否则采购单位有权要求更换。</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7、其他要求：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7.1供应商应对水源地、国、省考断面溯源及报告编制提供技术支撑，每日对水源地、国、省考断面异常数据进行预警提醒。</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7.2供应商应积极参加国家、省、市监测系统主办的技术培训班，加强业务学习，不断提高业务能力和水平。</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7.3仪器报废后（包括使用超过8年导致，或因特别重大、重大水旱、气象、地震、地质等自然灾害、站房外部火灾、爆炸、恐怖袭击、武装冲突、蓄意破坏等不可抗力导致），服务单位须先行及时使用备机开展监测，同时报告苏州市生态环境局。</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val="0"/>
          <w:bCs/>
          <w:color w:val="auto"/>
          <w:sz w:val="24"/>
          <w:szCs w:val="24"/>
          <w:highlight w:val="none"/>
        </w:rPr>
        <w:t xml:space="preserve">7.4严禁擅自更改仪器参数设置。</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spacing w:line="360" w:lineRule="auto"/>
        <w:rPr>
          <w:rFonts w:ascii="宋体" w:hAnsi="宋体" w:eastAsia="宋体" w:cs="宋体"/>
          <w:sz w:val="24"/>
          <w:szCs w:val="24"/>
          <w:highlight w:val="none"/>
        </w:rPr>
      </w:pPr>
      <w:r/>
      <w:bookmarkStart w:id="42" w:name="_Hlk193379405"/>
      <w:r>
        <w:rPr>
          <w:rFonts w:hint="eastAsia" w:ascii="宋体" w:hAnsi="宋体" w:eastAsia="宋体" w:cs="宋体"/>
          <w:sz w:val="24"/>
          <w:szCs w:val="24"/>
          <w:highlight w:val="none"/>
        </w:rPr>
        <w:t xml:space="preserve">1、供应商应承诺自2022年1月1日至今在全国范围内的环境监测服务活动中未出现响应单位或其法定代表人、员工（包括但不限于高管人员、项目负责人员、实施人员及其他员工等，员工的认定以违法行为发生当时劳动合同、聘任合同存续为准）曾在本项目类似业务实施过程中，因行贿受贿、数据造假等与业务活动相关的行为受到刑事处罚或被区县级（含）以上生态环境部门通报、行政处罚的情形。</w:t>
      </w:r>
      <w:r>
        <w:rPr>
          <w:rFonts w:hint="eastAsia" w:ascii="宋体" w:hAnsi="宋体" w:eastAsia="宋体" w:cs="宋体"/>
          <w:b/>
          <w:bCs/>
          <w:sz w:val="24"/>
          <w:szCs w:val="24"/>
          <w:highlight w:val="none"/>
          <w:lang w:val="en-US" w:eastAsia="zh-CN"/>
        </w:rPr>
        <w:t xml:space="preserve">响应文件中</w:t>
      </w:r>
      <w:r>
        <w:rPr>
          <w:rFonts w:hint="eastAsia" w:ascii="宋体" w:hAnsi="宋体" w:eastAsia="宋体" w:cs="宋体"/>
          <w:b/>
          <w:bCs/>
          <w:sz w:val="24"/>
          <w:szCs w:val="24"/>
          <w:highlight w:val="none"/>
        </w:rPr>
        <w:t xml:space="preserve">须提供</w:t>
      </w:r>
      <w:r>
        <w:rPr>
          <w:rFonts w:hint="eastAsia" w:ascii="宋体" w:hAnsi="宋体" w:eastAsia="宋体" w:cs="宋体"/>
          <w:b/>
          <w:bCs/>
          <w:sz w:val="24"/>
          <w:szCs w:val="24"/>
          <w:highlight w:val="none"/>
          <w:lang w:val="en-US" w:eastAsia="zh-CN"/>
        </w:rPr>
        <w:t xml:space="preserve">相关承诺函</w:t>
      </w:r>
      <w:r>
        <w:rPr>
          <w:rFonts w:hint="eastAsia" w:ascii="宋体" w:hAnsi="宋体" w:eastAsia="宋体" w:cs="宋体"/>
          <w:b/>
          <w:bCs/>
          <w:sz w:val="24"/>
          <w:szCs w:val="24"/>
          <w:highlight w:val="none"/>
        </w:rPr>
        <w:t xml:space="preserve">，否则视为不</w:t>
      </w:r>
      <w:r>
        <w:rPr>
          <w:rFonts w:hint="eastAsia" w:ascii="宋体" w:hAnsi="宋体" w:eastAsia="宋体" w:cs="宋体"/>
          <w:b/>
          <w:bCs/>
          <w:sz w:val="24"/>
          <w:szCs w:val="24"/>
          <w:highlight w:val="none"/>
          <w:lang w:val="en-US" w:eastAsia="zh-CN"/>
        </w:rPr>
        <w:t xml:space="preserve">实质性</w:t>
      </w:r>
      <w:r>
        <w:rPr>
          <w:rFonts w:hint="eastAsia" w:ascii="宋体" w:hAnsi="宋体" w:eastAsia="宋体" w:cs="宋体"/>
          <w:b/>
          <w:bCs/>
          <w:sz w:val="24"/>
          <w:szCs w:val="24"/>
          <w:highlight w:val="none"/>
        </w:rPr>
        <w:t xml:space="preserve">响应采购文件</w:t>
      </w:r>
      <w:r>
        <w:rPr>
          <w:rFonts w:hint="eastAsia" w:ascii="宋体" w:hAnsi="宋体" w:eastAsia="宋体" w:cs="宋体"/>
          <w:sz w:val="24"/>
          <w:szCs w:val="24"/>
          <w:highlight w:val="none"/>
        </w:rPr>
        <w:t xml:space="preserve">。如采购单位发现供应商虚假承诺，将视为虚假应标，成交无效并承担相关法律后果。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磋商响应文件中须提供供应商拟投入本项目人员名单。供应商在项目实施过程中，未经采购单位批准，不得随意更换项目组成员。如果采购单位认为技术服务人员不具备本次服务工作所需的技术能力，有权随时要求供应商对该成员进行更换。项目实施人员在服务期间内出现的工伤及其他意外事故，均由供应商自行负责，采购单位不承担任何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磋商供应商必须承诺磋商采购文件中提出的全部要求，如果其中某些条款不响应时，应在文件中逐条列出，未列出的视同响应。磋商供应商成交后提供服务均为按国家规格条例的合格正规服务、符合规范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报价说明：报价包括完成本次服务项目所需的人员（包括工资和补贴）、报告编制、劳保、管理、保险、各种税费、利润、税金、政策性文件规定及合同包含的所有风险、责任等各项应有费用。磋商供应商应对所投项目的全部内容进行报价，只投其中部分内容者，其响应文件将被拒绝。供应商对服务缺陷不予更正，采购单位有权另请其他单位更正，所发生的费用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5、供应商须按照采购单位的要求对</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项目进行服务工作。本项目不得分包或转包。供应商必须严格遵守法律法规、廉政及职业操守，供应商如出现重大责任问题，采购单位有权取消其成交资格。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6、供应商应能保证所提供服务涉及到的知识产权是合法取得，并享有完整的知识产权，不会因为需方的使用而被责令停止使用、追偿或要求赔偿损失，如出现此情况，一切经济和法律责任均由供应商承担。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7、供应商提供的所有服务必须质量符合国际或国家通用标准，如出现质量问题，供应商负责更正，发生的费用由供应商负责。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8、违约责任：供应商存在以下情形的，采购单位除有权拒绝支付相关费用并终止合同并提请有关部门追究行政或法律责任：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（1）在服务过程中弄虚作假影响项目客观性、公正性行为的。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（2）在服务过程中存在廉政问题的。</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rPr>
        <w:t xml:space="preserve">、验收</w:t>
      </w:r>
      <w:r>
        <w:rPr>
          <w:rFonts w:hint="eastAsia" w:ascii="宋体" w:hAnsi="宋体" w:eastAsia="宋体" w:cs="宋体"/>
          <w:color w:val="auto"/>
          <w:sz w:val="24"/>
          <w:szCs w:val="24"/>
          <w:highlight w:val="none"/>
          <w:shd w:val="clear" w:color="auto" w:fill="ffffff"/>
          <w:lang w:val="en-US" w:eastAsia="zh-CN"/>
        </w:rPr>
        <w:t xml:space="preserve">考核</w:t>
      </w:r>
      <w:r>
        <w:rPr>
          <w:rFonts w:hint="eastAsia" w:ascii="宋体" w:hAnsi="宋体" w:eastAsia="宋体" w:cs="宋体"/>
          <w:color w:val="auto"/>
          <w:sz w:val="24"/>
          <w:szCs w:val="24"/>
          <w:highlight w:val="none"/>
          <w:shd w:val="clear" w:color="auto" w:fill="ffffff"/>
        </w:rPr>
        <w:t xml:space="preserve">标准：</w:t>
      </w:r>
      <w:r>
        <w:rPr>
          <w:rFonts w:hint="eastAsia" w:ascii="宋体" w:hAnsi="宋体" w:eastAsia="宋体" w:cs="宋体"/>
          <w:color w:val="auto"/>
          <w:sz w:val="24"/>
          <w:szCs w:val="24"/>
          <w:highlight w:val="none"/>
        </w:rPr>
        <w:t xml:space="preserve">本项目将根据政府采购法及相关法规的规定，对供应商进行履约验收。</w:t>
      </w:r>
      <w:r>
        <w:rPr>
          <w:rFonts w:hint="eastAsia" w:ascii="宋体" w:hAnsi="宋体" w:eastAsia="宋体" w:cs="宋体"/>
          <w:color w:val="auto"/>
          <w:sz w:val="24"/>
          <w:szCs w:val="24"/>
          <w:highlight w:val="none"/>
          <w:lang w:val="en-US" w:eastAsia="zh-CN"/>
        </w:rPr>
        <w:t xml:space="preserve">具体内容详见采购内容及要求。</w:t>
      </w:r>
      <w:r/>
    </w:p>
    <w:p>
      <w:pPr>
        <w:pStyle w:val="963"/>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ffffff"/>
          <w:lang w:val="en-US" w:eastAsia="zh-CN"/>
        </w:rPr>
        <w:t xml:space="preserve">服务</w:t>
      </w:r>
      <w:r>
        <w:rPr>
          <w:rFonts w:hint="eastAsia" w:ascii="宋体" w:hAnsi="宋体" w:eastAsia="宋体" w:cs="宋体"/>
          <w:color w:val="auto"/>
          <w:sz w:val="24"/>
          <w:szCs w:val="24"/>
          <w:highlight w:val="none"/>
          <w:shd w:val="clear" w:color="auto" w:fill="ffffff"/>
        </w:rPr>
        <w:t xml:space="preserve">期限：</w:t>
      </w:r>
      <w:r>
        <w:rPr>
          <w:rFonts w:hint="eastAsia" w:ascii="宋体" w:hAnsi="宋体" w:eastAsia="宋体" w:cs="宋体"/>
          <w:b w:val="0"/>
          <w:bCs/>
          <w:color w:val="auto"/>
          <w:sz w:val="24"/>
          <w:szCs w:val="24"/>
          <w:highlight w:val="none"/>
          <w:lang w:eastAsia="zh-CN"/>
        </w:rPr>
        <w:t xml:space="preserve">合同签订之日起一年</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第五章合同主要条款。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、凡涉及</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的补充说明和修改，均以苏州政府采购网发布的内容为准。</w:t>
      </w:r>
      <w:bookmarkEnd w:id="4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before="0" w:after="0" w:line="360" w:lineRule="auto"/>
        <w:widowControl w:val="off"/>
        <w:rPr>
          <w:rFonts w:hint="eastAsia" w:ascii="宋体" w:hAnsi="宋体" w:eastAsia="宋体"/>
          <w:color w:val="auto"/>
          <w:sz w:val="52"/>
          <w:highlight w:val="none"/>
        </w:rPr>
      </w:pPr>
      <w:r/>
      <w:bookmarkStart w:id="43" w:name="_Toc6948"/>
      <w:r>
        <w:rPr>
          <w:rFonts w:hint="eastAsia" w:ascii="宋体" w:hAnsi="宋体" w:eastAsia="宋体"/>
          <w:color w:val="auto"/>
          <w:sz w:val="52"/>
          <w:highlight w:val="none"/>
        </w:rPr>
        <w:t xml:space="preserve">第五章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合同主要条款</w:t>
      </w:r>
      <w:bookmarkEnd w:id="43"/>
      <w:r/>
      <w:r/>
    </w:p>
    <w:p>
      <w:pPr>
        <w:widowControl/>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 </w:t>
      </w:r>
      <w:r/>
    </w:p>
    <w:p>
      <w:pPr>
        <w:pStyle w:val="982"/>
        <w:ind w:firstLine="0"/>
        <w:jc w:val="center"/>
        <w:spacing w:before="120"/>
        <w:rPr>
          <w:rFonts w:hint="eastAsia" w:ascii="宋体" w:hAnsi="宋体" w:eastAsia="宋体" w:cs="宋体"/>
          <w:b/>
          <w:color w:val="auto"/>
          <w:highlight w:val="none"/>
          <w:lang w:eastAsia="zh-CN"/>
        </w:rPr>
      </w:pPr>
      <w:r>
        <w:rPr>
          <w:rFonts w:ascii="宋体" w:hAnsi="宋体"/>
          <w:b/>
          <w:color w:val="auto"/>
          <w:sz w:val="30"/>
          <w:szCs w:val="30"/>
          <w:highlight w:val="none"/>
        </w:rPr>
        <w:br w:type="page" w:clear="all"/>
      </w:r>
      <w:r>
        <w:rPr>
          <w:rFonts w:hint="eastAsia" w:ascii="宋体" w:hAnsi="宋体" w:eastAsia="宋体" w:cs="宋体"/>
          <w:b/>
          <w:color w:val="auto"/>
          <w:sz w:val="30"/>
          <w:szCs w:val="30"/>
          <w:highlight w:val="none"/>
        </w:rPr>
        <w:t xml:space="preserve">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甲方（项目采购单位）：</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乙方（成交供应商）：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pStyle w:val="956"/>
        <w:rPr>
          <w:color w:val="auto"/>
          <w:highlight w:val="none"/>
        </w:rPr>
      </w:pPr>
      <w:r>
        <w:rPr>
          <w:color w:val="auto"/>
          <w:highlight w:val="none"/>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依据甲方委托</w:t>
      </w:r>
      <w:r>
        <w:rPr>
          <w:rFonts w:hint="eastAsia" w:ascii="宋体" w:hAnsi="宋体" w:eastAsia="宋体" w:cs="宋体"/>
          <w:sz w:val="24"/>
          <w:szCs w:val="24"/>
          <w:highlight w:val="none"/>
          <w:u w:val="single"/>
          <w:lang w:eastAsia="zh-CN"/>
        </w:rPr>
        <w:t xml:space="preserve">苏州诚和招投标咨询有限公司</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u w:val="single"/>
          <w:lang w:eastAsia="zh-CN"/>
        </w:rPr>
        <w:t xml:space="preserve">2026年太湖水源地自动站运维及重点湖泊水质藻情数据处理服务</w:t>
      </w:r>
      <w:r>
        <w:rPr>
          <w:rFonts w:hint="eastAsia" w:ascii="宋体" w:hAnsi="宋体" w:eastAsia="宋体" w:cs="宋体"/>
          <w:sz w:val="24"/>
          <w:szCs w:val="24"/>
          <w:highlight w:val="none"/>
        </w:rPr>
        <w:t xml:space="preserve">项目政府采购</w:t>
      </w:r>
      <w:r>
        <w:rPr>
          <w:rFonts w:hint="eastAsia" w:ascii="宋体" w:hAnsi="宋体" w:eastAsia="宋体" w:cs="宋体"/>
          <w:sz w:val="24"/>
          <w:szCs w:val="24"/>
          <w:highlight w:val="none"/>
          <w:u w:val="single"/>
          <w:lang w:eastAsia="zh-CN"/>
        </w:rPr>
        <w:t xml:space="preserve">JSZC-320500-SZCH-C2026-0001</w:t>
      </w:r>
      <w:r>
        <w:rPr>
          <w:rFonts w:hint="eastAsia" w:ascii="宋体" w:hAnsi="宋体" w:eastAsia="宋体" w:cs="宋体"/>
          <w:sz w:val="24"/>
          <w:szCs w:val="24"/>
          <w:highlight w:val="none"/>
        </w:rPr>
        <w:t xml:space="preserve">的成交结果，确定乙方为本次成交供应商，现依照磋商文件、乙方的响应文件及相关文件的内容，签订本合同书</w:t>
      </w:r>
      <w:r>
        <w:rPr>
          <w:rFonts w:hint="eastAsia" w:ascii="宋体" w:hAnsi="宋体" w:eastAsia="宋体" w:cs="宋体"/>
          <w:sz w:val="24"/>
          <w:szCs w:val="24"/>
          <w:highlight w:val="none"/>
          <w:lang w:eastAsia="zh-CN"/>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（一）本项目采购文件；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（二）乙方响应文件；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（五）确定乙方的文件（包括但不限于成交通知书等）；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二、服务要求</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详见第四章采购内容。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三、合同金额</w:t>
      </w:r>
      <w:r/>
    </w:p>
    <w:p>
      <w:pPr>
        <w:ind w:firstLine="482"/>
        <w:spacing w:line="360" w:lineRule="auto"/>
        <w:rPr>
          <w:rFonts w:ascii="宋体" w:hAnsi="宋体" w:eastAsia="宋体" w:cs="宋体"/>
          <w:b w:val="0"/>
          <w:bCs/>
          <w:color w:val="auto"/>
          <w:sz w:val="24"/>
          <w:szCs w:val="24"/>
          <w:highlight w:val="none"/>
          <w:u w:val="single"/>
        </w:rPr>
      </w:pPr>
      <w:r/>
      <w:bookmarkStart w:id="44" w:name="_Hlk56427584"/>
      <w:r>
        <w:rPr>
          <w:rFonts w:hint="eastAsia" w:ascii="宋体" w:hAnsi="宋体" w:eastAsia="宋体" w:cs="宋体"/>
          <w:b w:val="0"/>
          <w:bCs/>
          <w:color w:val="auto"/>
          <w:sz w:val="24"/>
          <w:szCs w:val="24"/>
          <w:highlight w:val="none"/>
        </w:rPr>
        <w:t xml:space="preserve">合同总金额为</w:t>
      </w:r>
      <w:r>
        <w:rPr>
          <w:rFonts w:hint="eastAsia" w:ascii="宋体" w:hAnsi="宋体" w:eastAsia="宋体" w:cs="宋体"/>
          <w:b w:val="0"/>
          <w:bCs/>
          <w:color w:val="auto"/>
          <w:sz w:val="24"/>
          <w:szCs w:val="24"/>
          <w:highlight w:val="none"/>
          <w:u w:val="single"/>
        </w:rPr>
        <w:t xml:space="preserve">人民币          元，大写：        。</w:t>
      </w:r>
      <w:r/>
    </w:p>
    <w:p>
      <w:pPr>
        <w:pStyle w:val="977"/>
        <w:ind w:firstLine="482"/>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合同总金额</w:t>
      </w:r>
      <w:r>
        <w:rPr>
          <w:rFonts w:hint="eastAsia" w:hAnsi="宋体" w:eastAsia="宋体" w:cs="宋体"/>
          <w:b w:val="0"/>
          <w:bCs/>
          <w:color w:val="auto"/>
          <w:sz w:val="24"/>
          <w:szCs w:val="24"/>
          <w:highlight w:val="none"/>
          <w:lang w:eastAsia="zh-CN"/>
        </w:rPr>
        <w:t xml:space="preserve">包括完成本次服务项目所需的人员（包括工资和补贴）、报告编制、劳保、管理、保险、各种税费、利润、税金、政策性文件规定及合同包含的所有风险、责任等各项应有费用。磋商供应商应对所投项目的全部内容进行报价，只投其中部分内容者，其响应文件将被拒绝。供应商对服务缺陷不予更正，采购单位有权另请其他单位更正，所发生的费用由供应商承担</w:t>
      </w:r>
      <w:r>
        <w:rPr>
          <w:rFonts w:hint="eastAsia" w:hAnsi="宋体" w:eastAsia="宋体" w:cs="宋体"/>
          <w:b w:val="0"/>
          <w:bCs/>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bookmarkEnd w:id="44"/>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乙方数字人民币账户信息：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numPr>
          <w:ilvl w:val="0"/>
          <w:numId w:val="2"/>
        </w:numPr>
        <w:ind w:firstLine="480"/>
        <w:spacing w:line="360" w:lineRule="auto"/>
        <w:tabs>
          <w:tab w:val="left" w:pos="567"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付款步骤：</w:t>
      </w:r>
      <w:r/>
    </w:p>
    <w:p>
      <w:pPr>
        <w:numPr>
          <w:ilvl w:val="255"/>
          <w:numId w:val="0"/>
        </w:num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合同签订生效后，乙方提供相应服务，甲方于202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年6月30日前支付不超过合同价款的</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0%（最高不超过</w:t>
      </w:r>
      <w:r>
        <w:rPr>
          <w:rFonts w:hint="eastAsia" w:ascii="宋体" w:hAnsi="宋体" w:eastAsia="宋体" w:cs="宋体"/>
          <w:bCs/>
          <w:color w:val="auto"/>
          <w:sz w:val="24"/>
          <w:szCs w:val="24"/>
          <w:highlight w:val="none"/>
          <w:lang w:val="en-US" w:eastAsia="zh-CN"/>
        </w:rPr>
        <w:t xml:space="preserve">13.8</w:t>
      </w:r>
      <w:r>
        <w:rPr>
          <w:rFonts w:hint="eastAsia" w:ascii="宋体" w:hAnsi="宋体" w:eastAsia="宋体" w:cs="宋体"/>
          <w:bCs/>
          <w:color w:val="auto"/>
          <w:sz w:val="24"/>
          <w:szCs w:val="24"/>
          <w:highlight w:val="none"/>
        </w:rPr>
        <w:t xml:space="preserve">万元）。乙方应在</w:t>
      </w:r>
      <w:r>
        <w:rPr>
          <w:rFonts w:hint="eastAsia" w:ascii="宋体" w:hAnsi="宋体" w:eastAsia="宋体" w:cs="宋体"/>
          <w:bCs/>
          <w:color w:val="auto"/>
          <w:sz w:val="24"/>
          <w:szCs w:val="24"/>
          <w:highlight w:val="none"/>
          <w:lang w:val="en-US" w:eastAsia="zh-CN"/>
        </w:rPr>
        <w:t xml:space="preserve">半年</w:t>
      </w:r>
      <w:r>
        <w:rPr>
          <w:rFonts w:hint="eastAsia" w:ascii="宋体" w:hAnsi="宋体" w:eastAsia="宋体" w:cs="宋体"/>
          <w:bCs/>
          <w:color w:val="auto"/>
          <w:sz w:val="24"/>
          <w:szCs w:val="24"/>
          <w:highlight w:val="none"/>
        </w:rPr>
        <w:t xml:space="preserve">运行维护服务结束后15个工作日内提供1—6月</w:t>
      </w:r>
      <w:r>
        <w:rPr>
          <w:rFonts w:hint="eastAsia" w:ascii="宋体" w:hAnsi="宋体" w:eastAsia="宋体" w:cs="宋体"/>
          <w:color w:val="auto"/>
          <w:sz w:val="24"/>
          <w:szCs w:val="24"/>
          <w:highlight w:val="none"/>
        </w:rPr>
        <w:t xml:space="preserve">运维服务报告</w:t>
      </w:r>
      <w:r>
        <w:rPr>
          <w:rFonts w:hint="eastAsia" w:ascii="宋体" w:hAnsi="宋体" w:eastAsia="宋体" w:cs="宋体"/>
          <w:bCs/>
          <w:color w:val="auto"/>
          <w:sz w:val="24"/>
          <w:szCs w:val="24"/>
          <w:highlight w:val="none"/>
        </w:rPr>
        <w:t xml:space="preserve">及</w:t>
      </w:r>
      <w:r>
        <w:rPr>
          <w:rFonts w:hint="eastAsia" w:ascii="宋体" w:hAnsi="宋体" w:eastAsia="宋体" w:cs="宋体"/>
          <w:color w:val="auto"/>
          <w:sz w:val="24"/>
          <w:szCs w:val="24"/>
          <w:highlight w:val="none"/>
        </w:rPr>
        <w:t xml:space="preserve">半年度服务总结报告</w:t>
      </w:r>
      <w:r>
        <w:rPr>
          <w:rFonts w:hint="eastAsia" w:ascii="宋体" w:hAnsi="宋体" w:eastAsia="宋体" w:cs="宋体"/>
          <w:bCs/>
          <w:color w:val="auto"/>
          <w:sz w:val="24"/>
          <w:szCs w:val="24"/>
          <w:highlight w:val="none"/>
        </w:rPr>
        <w:t xml:space="preserve">，甲方应在收到报告后20个工作日内完成考核。甲方在202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月31日前根据考核结果支付至不超过合同价款的</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年总支付费用最高不超过</w:t>
      </w:r>
      <w:r>
        <w:rPr>
          <w:rFonts w:hint="eastAsia" w:ascii="宋体" w:hAnsi="宋体" w:eastAsia="宋体" w:cs="宋体"/>
          <w:bCs/>
          <w:color w:val="auto"/>
          <w:sz w:val="24"/>
          <w:szCs w:val="24"/>
          <w:highlight w:val="none"/>
          <w:lang w:val="en-US" w:eastAsia="zh-CN"/>
        </w:rPr>
        <w:t xml:space="preserve">27.6</w:t>
      </w:r>
      <w:r>
        <w:rPr>
          <w:rFonts w:hint="eastAsia" w:ascii="宋体" w:hAnsi="宋体" w:eastAsia="宋体" w:cs="宋体"/>
          <w:bCs/>
          <w:color w:val="auto"/>
          <w:sz w:val="24"/>
          <w:szCs w:val="24"/>
          <w:highlight w:val="none"/>
        </w:rPr>
        <w:t xml:space="preserve">万元）。乙方</w:t>
      </w:r>
      <w:r>
        <w:rPr>
          <w:rFonts w:hint="eastAsia" w:ascii="宋体" w:hAnsi="宋体" w:eastAsia="宋体" w:cs="宋体"/>
          <w:color w:val="auto"/>
          <w:sz w:val="24"/>
          <w:szCs w:val="24"/>
          <w:highlight w:val="none"/>
        </w:rPr>
        <w:t xml:space="preserve">应在202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年1月31日前提交6-12月运维服务报告及半年度服务总结报告，甲方应在收到报告后20个工作日内完成考核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于2027年</w:t>
      </w:r>
      <w:r>
        <w:rPr>
          <w:rFonts w:hint="eastAsia" w:ascii="宋体" w:hAnsi="宋体" w:eastAsia="宋体" w:cs="宋体"/>
          <w:color w:val="auto"/>
          <w:sz w:val="24"/>
          <w:szCs w:val="24"/>
          <w:highlight w:val="none"/>
        </w:rPr>
        <w:t xml:space="preserve">6月底前根据考核结果支付剩余合同款项。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以上支付除第一笔费用外，其余付款应根据考核结果在该笔服务费中扣除后再按实际支付（支付费用=约定支付费用-扣款费用）。</w:t>
      </w:r>
      <w:r>
        <w:rPr>
          <w:rFonts w:hint="eastAsia" w:ascii="宋体" w:hAnsi="宋体" w:eastAsia="宋体" w:cs="宋体"/>
          <w:color w:val="auto"/>
          <w:sz w:val="24"/>
          <w:szCs w:val="24"/>
          <w:highlight w:val="none"/>
        </w:rPr>
        <w:t xml:space="preserve">考核分大于等于90分</w:t>
      </w:r>
      <w:r>
        <w:rPr>
          <w:rFonts w:hint="eastAsia" w:ascii="宋体" w:hAnsi="宋体" w:eastAsia="宋体" w:cs="宋体"/>
          <w:color w:val="auto"/>
          <w:sz w:val="24"/>
          <w:szCs w:val="24"/>
          <w:highlight w:val="none"/>
          <w:lang w:val="en-US" w:eastAsia="zh-CN"/>
        </w:rPr>
        <w:t xml:space="preserve">不扣款；</w:t>
      </w:r>
      <w:r>
        <w:rPr>
          <w:rFonts w:hint="eastAsia" w:ascii="宋体" w:hAnsi="宋体" w:eastAsia="宋体" w:cs="宋体"/>
          <w:color w:val="auto"/>
          <w:sz w:val="24"/>
          <w:szCs w:val="24"/>
          <w:highlight w:val="none"/>
        </w:rPr>
        <w:t xml:space="preserve">考核分在80分（含）以上，90分以下，为初级警告，扣除服务费</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万元；考核分在70分（含）以上，80分以下，为二级警告，扣除服务费</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万元；考核分在70分以下，扣除服务费</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0万元。</w:t>
      </w:r>
      <w:r>
        <w:rPr>
          <w:rFonts w:hint="eastAsia" w:ascii="宋体" w:hAnsi="宋体" w:eastAsia="宋体" w:cs="宋体"/>
          <w:bCs/>
          <w:color w:val="auto"/>
          <w:sz w:val="24"/>
          <w:szCs w:val="24"/>
          <w:highlight w:val="none"/>
        </w:rPr>
        <w:t xml:space="preserve">最高扣除费用为该笔服务费的全额费用。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甲方除以上服务费用外不再承担其它任何费用。工作人员的薪金、福利、休假日补贴、加班费、医疗费用等均由乙方负责，与甲方无关。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注：甲方每次付款前，乙方均应当向甲方开具等额、合法的发票，否则甲方有权延迟付款且无须承担任何责任。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rPr>
        <w:t xml:space="preserve">甲方指定地点（苏州大市范围内）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2、服务期限：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六、保密条款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对在本合同签订、履行过程中知悉的对方资料和信息，除对方做出相反的书面说明外，均应视为对方的商业秘密，未经对方书面同意不得向任何第三方泄漏或用于本合同以外的目的。若因乙方违反前述规定而给甲方造成损失的，甲方有权解除本合同并有权要求乙方赔偿一切直接、间接损失。乙方承担保密义务的期限为永久。无论合同是否变更、解除或终止，合同的保密条款不受其限制而继续有效，双方都应继续承担保密条款约定的保密义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七、质量保证要求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1、乙方应在项目实施前，详细分析在本次项目实施过程中可能存在的技术风险，并采取必要的风险控制措施。乙方在项目实施工作中对甲方造成的负面影响，其后果都须由乙方承担。</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2、乙方应按磋商采购文件的有关规定提供合格的服务。甲方将根据工作要求对乙方进行监督考核。</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如存在未按约定内容完成本项目的情形的，甲方应通知乙方，乙方应于收到通知后1日内进行答复并完成整改，乙方于收到通知的1日内未予以答复的或答复后未进行整改的，视为乙方已确认其存在未完成服务的情形，每半年甲方凭书面记录核实应扣除的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1.2乙方如存在其他违反本保密条款的行为的，应当赔偿甲方因此遭受的一切直接、间接损失，同时向甲方支付合同总金额的20%的违约金。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九、不可抗力</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1、因不可抗力不能履行合同的，根据不可抗力的影响，部分或者全部免除责任。但合同一方迟延履行后发生不可抗力的，不能免除责任。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2、合同一方因不可抗力不能履行合同的，应当及时通知对方，以减轻可能给对方造成的损失，并应在不可抗力事由发生后10日内向另一方提供书面证明。</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3、不可抗力事由消除后，合同继续履行等相关事宜，由合同双方协商解决。</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十、合同的解除</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（一）合同的解除</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1、甲方和乙方协商一致，可以解除合同。</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2、在合同有效期内一方不得擅自变更或中止此项合同（包括为此项目配备的人员），如未经双方书面同意，擅自变更或中止此项的一方自行承担违约责任。</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3、有下列情形之一，合同一方可以解除合同：</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sz w:val="24"/>
          <w:szCs w:val="24"/>
          <w:highlight w:val="none"/>
        </w:rPr>
        <w:t xml:space="preserve">3.1</w:t>
      </w:r>
      <w:r>
        <w:rPr>
          <w:rFonts w:hint="eastAsia" w:ascii="宋体" w:hAnsi="宋体" w:eastAsia="宋体" w:cs="Times New Roman"/>
          <w:color w:val="auto"/>
          <w:sz w:val="24"/>
          <w:szCs w:val="24"/>
          <w:highlight w:val="none"/>
          <w:shd w:val="clear" w:color="auto" w:fill="auto"/>
        </w:rPr>
        <w:t xml:space="preserve">因不可抗力致使不能实现合同目的，双方均有权解除合同</w:t>
      </w:r>
      <w:r>
        <w:rPr>
          <w:rFonts w:hint="eastAsia" w:ascii="宋体" w:hAnsi="宋体" w:eastAsia="宋体" w:cs="Times New Roman"/>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3.2因合同一方违约导致合同不能履行，另一方有权解除合同。</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4、有权解除合同的一方，应当在违约事实或不可抗力发生之后三十天内书面通知对方以主张解除合同，合同在书面通知到达对方时解除。</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（二）合同的转让</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合同的部分和全部均不得转让。</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十一、合同的生效</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1、本合同经甲乙双方法定代表人或授权代表人签字并加盖公章（或合同章）后生效，并在合同签订后2个工作日内进行采购合同公示。</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2、合同在执行过程中出现的未尽事宜，双方在不违背本合同和采购文件的原则下协商解决，协商结果以书面形式盖章记录在案，作为本合同的附件，与本合同具有同等效力，但需向甲方提交两份备存。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十二、争议的解决</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甲乙双方因履行本合同或与本合同有关的一切事项发生争议的，应在招标机构主持下调解、协商，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十三、附则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1、本合同一式伍份，甲乙双方各执贰份，采购代理方壹份，伍份具有同等法律效力。</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在本合同履行过程中，双方一切联系均以书面通知为准。双方所确认的联系人、联系方式及法律文书送达地址，如发生变更的，应当于变更之日起3日内书面通知另一方，未通知的自行承担送达不能等不利后果。</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、未尽事宜</w:t>
      </w:r>
      <w:r/>
    </w:p>
    <w:p>
      <w:pPr>
        <w:ind w:firstLine="480"/>
        <w:jc w:val="left"/>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本合同未尽事宜应按《中华人民共和国民法典》、《中华人民共和国政府采购法》以及其他相关法律、法规之规定解释。</w:t>
      </w:r>
      <w:r/>
    </w:p>
    <w:p>
      <w:pPr>
        <w:pStyle w:val="95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名称(公章)：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法定代表人或授权代理人：                  法定代表人或授权代理人：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（签字或盖章）                           （签字或盖章）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签订日期：                                签订日期：</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1"/>
        <w:jc w:val="center"/>
        <w:keepLines/>
        <w:keepNext/>
        <w:pageBreakBefore w:val="0"/>
        <w:spacing w:before="0" w:after="0" w:line="360" w:lineRule="auto"/>
        <w:widowControl w:val="off"/>
        <w:rPr>
          <w:rFonts w:hint="eastAsia" w:ascii="宋体" w:hAnsi="宋体" w:eastAsia="宋体"/>
          <w:color w:val="auto"/>
          <w:sz w:val="52"/>
          <w:highlight w:val="none"/>
        </w:rPr>
      </w:pPr>
      <w:r/>
      <w:bookmarkStart w:id="45" w:name="_Toc7221"/>
      <w:r>
        <w:rPr>
          <w:rFonts w:hint="eastAsia" w:ascii="宋体" w:hAnsi="宋体" w:eastAsia="宋体"/>
          <w:color w:val="auto"/>
          <w:sz w:val="52"/>
          <w:highlight w:val="none"/>
        </w:rPr>
        <w:t xml:space="preserve">第六章 评审办法</w:t>
      </w:r>
      <w:bookmarkEnd w:id="45"/>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70"/>
        <w:ind w:firstLine="482"/>
        <w:jc w:val="both"/>
        <w:spacing w:line="360" w:lineRule="auto"/>
        <w:rPr>
          <w:rFonts w:hint="eastAsia" w:ascii="宋体" w:hAnsi="宋体" w:eastAsia="宋体"/>
          <w:b/>
          <w:color w:val="auto"/>
          <w:szCs w:val="24"/>
          <w:highlight w:val="none"/>
        </w:rPr>
        <w:outlineLvl w:val="1"/>
      </w:pPr>
      <w:r>
        <w:rPr>
          <w:b/>
          <w:color w:val="auto"/>
          <w:highlight w:val="none"/>
        </w:rPr>
        <w:br w:type="page" w:clear="all"/>
      </w:r>
      <w:r>
        <w:rPr>
          <w:rFonts w:hint="eastAsia" w:ascii="宋体" w:hAnsi="宋体" w:eastAsia="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满足采购文件全部实质性要求，且按照评审因素的量化指标评审得分最高的供应商为排名第一的</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的评审方法。</w:t>
      </w:r>
      <w:r/>
    </w:p>
    <w:p>
      <w:pPr>
        <w:ind w:firstLine="42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根据江苏省财政厅《关于推动解决政府采购异常低价问题相关工作的通知》（苏财购〔2025〕62号）规定，</w:t>
      </w:r>
      <w:r>
        <w:rPr>
          <w:rFonts w:hint="eastAsia" w:ascii="宋体" w:hAnsi="宋体" w:eastAsia="宋体"/>
          <w:sz w:val="24"/>
          <w:szCs w:val="24"/>
          <w:highlight w:val="none"/>
        </w:rPr>
        <w:t xml:space="preserve">政府采购异常低价审查：</w:t>
      </w:r>
      <w:r/>
    </w:p>
    <w:p>
      <w:pPr>
        <w:ind w:firstLine="424"/>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ascii="宋体" w:hAnsi="宋体" w:eastAsia="宋体"/>
          <w:sz w:val="24"/>
          <w:szCs w:val="24"/>
          <w:highlight w:val="none"/>
        </w:rPr>
        <w:t xml:space="preserve">评审过程中出现下列情形之一的，评审委员会应当启</w:t>
      </w:r>
      <w:r>
        <w:rPr>
          <w:rFonts w:hint="eastAsia" w:ascii="宋体" w:hAnsi="宋体" w:eastAsia="宋体"/>
          <w:sz w:val="24"/>
          <w:szCs w:val="24"/>
          <w:highlight w:val="none"/>
        </w:rPr>
        <w:t xml:space="preserve">动异常低价投标</w:t>
      </w:r>
      <w:r>
        <w:rPr>
          <w:rFonts w:ascii="宋体" w:hAnsi="宋体" w:eastAsia="宋体"/>
          <w:sz w:val="24"/>
          <w:szCs w:val="24"/>
          <w:highlight w:val="none"/>
        </w:rPr>
        <w:t xml:space="preserve">(响应)审查程序</w:t>
      </w:r>
      <w:r>
        <w:rPr>
          <w:rFonts w:hint="eastAsia" w:ascii="宋体" w:hAnsi="宋体" w:eastAsia="宋体"/>
          <w:sz w:val="24"/>
          <w:szCs w:val="24"/>
          <w:highlight w:val="none"/>
          <w:lang w:eastAsia="zh-CN"/>
        </w:rPr>
        <w:t xml:space="preserve">：</w:t>
      </w:r>
      <w:r/>
    </w:p>
    <w:p>
      <w:pPr>
        <w:ind w:firstLine="424"/>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①</w:t>
      </w:r>
      <w:r>
        <w:rPr>
          <w:rFonts w:ascii="宋体" w:hAnsi="宋体" w:eastAsia="宋体"/>
          <w:sz w:val="24"/>
          <w:szCs w:val="24"/>
          <w:highlight w:val="none"/>
        </w:rPr>
        <w:t xml:space="preserve">投标(响应)报价低于采购项目预算50%的，即投标(响应)报价</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rPr>
        <w:t xml:space="preserve">采购项目预算</w:t>
      </w:r>
      <w:r>
        <w:rPr>
          <w:rFonts w:hint="eastAsia" w:ascii="宋体" w:hAnsi="宋体" w:eastAsia="宋体"/>
          <w:sz w:val="24"/>
          <w:szCs w:val="24"/>
          <w:highlight w:val="none"/>
        </w:rPr>
        <w:t xml:space="preserve">×</w:t>
      </w:r>
      <w:r>
        <w:rPr>
          <w:rFonts w:ascii="宋体" w:hAnsi="宋体" w:eastAsia="宋体"/>
          <w:sz w:val="24"/>
          <w:szCs w:val="24"/>
          <w:highlight w:val="none"/>
        </w:rPr>
        <w:t xml:space="preserve">50%</w:t>
      </w:r>
      <w:r>
        <w:rPr>
          <w:rFonts w:hint="eastAsia" w:ascii="宋体" w:hAnsi="宋体" w:eastAsia="宋体"/>
          <w:sz w:val="24"/>
          <w:szCs w:val="24"/>
          <w:highlight w:val="none"/>
          <w:lang w:eastAsia="zh-CN"/>
        </w:rPr>
        <w:t xml:space="preserve">；</w:t>
      </w:r>
      <w:r/>
    </w:p>
    <w:p>
      <w:pPr>
        <w:ind w:firstLine="424"/>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②</w:t>
      </w:r>
      <w:r>
        <w:rPr>
          <w:rFonts w:ascii="宋体" w:hAnsi="宋体" w:eastAsia="宋体"/>
          <w:sz w:val="24"/>
          <w:szCs w:val="24"/>
          <w:highlight w:val="none"/>
        </w:rPr>
        <w:t xml:space="preserve">投标(响应)报价低于采购项目最高限价45%的，即投标(响应)报价</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rPr>
        <w:t xml:space="preserve">采购项目最高限价</w:t>
      </w:r>
      <w:r>
        <w:rPr>
          <w:rFonts w:hint="eastAsia" w:ascii="宋体" w:hAnsi="宋体" w:eastAsia="宋体"/>
          <w:sz w:val="24"/>
          <w:szCs w:val="24"/>
          <w:highlight w:val="none"/>
        </w:rPr>
        <w:t xml:space="preserve">×</w:t>
      </w:r>
      <w:r>
        <w:rPr>
          <w:rFonts w:ascii="宋体" w:hAnsi="宋体" w:eastAsia="宋体"/>
          <w:sz w:val="24"/>
          <w:szCs w:val="24"/>
          <w:highlight w:val="none"/>
        </w:rPr>
        <w:t xml:space="preserve">45%</w:t>
      </w:r>
      <w:r>
        <w:rPr>
          <w:rFonts w:hint="eastAsia" w:ascii="宋体" w:hAnsi="宋体" w:eastAsia="宋体"/>
          <w:sz w:val="24"/>
          <w:szCs w:val="24"/>
          <w:highlight w:val="none"/>
          <w:lang w:eastAsia="zh-CN"/>
        </w:rPr>
        <w:t xml:space="preserve">；</w:t>
      </w:r>
      <w:r/>
    </w:p>
    <w:p>
      <w:pPr>
        <w:ind w:firstLine="42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③</w:t>
      </w:r>
      <w:r>
        <w:rPr>
          <w:rFonts w:ascii="宋体" w:hAnsi="宋体" w:eastAsia="宋体"/>
          <w:sz w:val="24"/>
          <w:szCs w:val="24"/>
          <w:highlight w:val="none"/>
        </w:rPr>
        <w:t xml:space="preserve">评审委员会认定的供应商报价过低、有可能影响产品质量或者不能诚信履约的其他情形。</w:t>
      </w:r>
      <w:r/>
    </w:p>
    <w:p>
      <w:pPr>
        <w:ind w:firstLine="424"/>
        <w:spacing w:line="360" w:lineRule="auto"/>
        <w:rPr>
          <w:rFonts w:hint="eastAsia" w:ascii="宋体" w:hAnsi="宋体" w:eastAsia="宋体" w:cs="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符合上述</w:t>
      </w:r>
      <w:r>
        <w:rPr>
          <w:rFonts w:ascii="宋体" w:hAnsi="宋体" w:eastAsia="宋体"/>
          <w:sz w:val="24"/>
          <w:szCs w:val="24"/>
          <w:highlight w:val="none"/>
        </w:rPr>
        <w:t xml:space="preserve">启动异常低价投标(响应)审查</w:t>
      </w:r>
      <w:r>
        <w:rPr>
          <w:rFonts w:hint="eastAsia" w:ascii="宋体" w:hAnsi="宋体" w:eastAsia="宋体"/>
          <w:sz w:val="24"/>
          <w:szCs w:val="24"/>
          <w:highlight w:val="none"/>
        </w:rPr>
        <w:t xml:space="preserve">情形的，相关供应商应按</w:t>
      </w:r>
      <w:r>
        <w:rPr>
          <w:rFonts w:ascii="宋体" w:hAnsi="宋体" w:eastAsia="宋体"/>
          <w:sz w:val="24"/>
          <w:szCs w:val="24"/>
          <w:highlight w:val="none"/>
        </w:rPr>
        <w:t xml:space="preserve">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、评审小组各成员独立对每个进入打分程序的有效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的得分，加上价格得分即为每个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的综合得分。评审结果按评审后得分由高到低顺序排列，得分相同的，按磋商报价由</w:t>
      </w:r>
      <w:r>
        <w:rPr>
          <w:rFonts w:hint="eastAsia" w:ascii="宋体" w:hAnsi="宋体" w:eastAsia="宋体" w:cs="宋体"/>
          <w:color w:val="auto"/>
          <w:sz w:val="24"/>
          <w:szCs w:val="24"/>
          <w:highlight w:val="none"/>
          <w:lang w:val="en-US" w:eastAsia="zh-CN"/>
        </w:rPr>
        <w:t xml:space="preserve">低到高</w:t>
      </w:r>
      <w:r>
        <w:rPr>
          <w:rFonts w:hint="eastAsia" w:ascii="宋体" w:hAnsi="宋体" w:eastAsia="宋体" w:cs="宋体"/>
          <w:color w:val="auto"/>
          <w:sz w:val="24"/>
          <w:szCs w:val="24"/>
          <w:highlight w:val="none"/>
        </w:rPr>
        <w:t xml:space="preserve">顺序排列。得分且磋商报价相同的并列。</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满足采购文件全部实质性要求，且按照前述综合评审得分由高到低的排序选择前三名供应商作为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。如选取</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时出现评审得分相同，且磋商报价也相同的并列情况的，则由</w:t>
      </w:r>
      <w:bookmarkStart w:id="46" w:name="_Hlk193379630"/>
      <w:r>
        <w:rPr>
          <w:rFonts w:hint="eastAsia" w:ascii="宋体" w:hAnsi="宋体" w:eastAsia="宋体" w:cs="宋体"/>
          <w:color w:val="auto"/>
          <w:sz w:val="24"/>
          <w:szCs w:val="24"/>
          <w:highlight w:val="none"/>
        </w:rPr>
        <w:t xml:space="preserve">采购人</w:t>
      </w:r>
      <w:bookmarkEnd w:id="46"/>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、评审小组根据采购人的授权，按照</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的顺序在</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中直接确定</w:t>
      </w:r>
      <w:r>
        <w:rPr>
          <w:rFonts w:hint="eastAsia" w:ascii="宋体" w:hAnsi="宋体" w:eastAsia="宋体" w:cs="宋体"/>
          <w:color w:val="auto"/>
          <w:sz w:val="24"/>
          <w:szCs w:val="24"/>
          <w:highlight w:val="none"/>
          <w:lang w:eastAsia="zh-CN"/>
        </w:rPr>
        <w:t xml:space="preserve">中标（成交）</w:t>
      </w:r>
      <w:r>
        <w:rPr>
          <w:rFonts w:hint="eastAsia" w:ascii="宋体" w:hAnsi="宋体" w:eastAsia="宋体" w:cs="宋体"/>
          <w:color w:val="auto"/>
          <w:sz w:val="24"/>
          <w:szCs w:val="24"/>
          <w:highlight w:val="none"/>
        </w:rPr>
        <w:t xml:space="preserve">供应商。</w:t>
      </w:r>
      <w:r/>
    </w:p>
    <w:p>
      <w:pPr>
        <w:ind w:firstLine="482"/>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二、评分标准：</w:t>
      </w:r>
      <w:r/>
    </w:p>
    <w:p>
      <w:pPr>
        <w:ind w:firstLine="482"/>
        <w:spacing w:line="360" w:lineRule="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（一）价格基准分：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w:t>
      </w:r>
      <w:r>
        <w:rPr>
          <w:rFonts w:hint="eastAsia" w:ascii="宋体" w:hAnsi="宋体" w:eastAsia="宋体" w:cs="宋体"/>
          <w:sz w:val="24"/>
          <w:szCs w:val="24"/>
          <w:highlight w:val="none"/>
        </w:rPr>
        <w:t xml:space="preserve">磋商报价低于或等于财政预算（最高限价）且符合采购文件要求的，为有效磋商报价。无效磋商报价的响应文件不参与进一步评审</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第二步：满足采购文件要求，且磋商价格最低的磋商报价为评标基准价，其价格分为满分，即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磋商报价得分＝（评标基准价/有效磋商报价）×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p>
      <w:pPr>
        <w:numPr>
          <w:ilvl w:val="0"/>
          <w:numId w:val="3"/>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59</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979"/>
        <w:gridCol w:w="4845"/>
        <w:gridCol w:w="896"/>
      </w:tblGrid>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评分项名称</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评分标准</w:t>
            </w:r>
            <w:r/>
          </w:p>
        </w:tc>
        <w:tc>
          <w:tcPr>
            <w:tcW w:w="896"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分值</w:t>
            </w:r>
            <w:r/>
          </w:p>
        </w:tc>
      </w:tr>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供应商制定的水站运行维护方案及运行管理制度</w:t>
            </w:r>
            <w:r/>
          </w:p>
        </w:tc>
        <w:tc>
          <w:tcPr>
            <w:tcW w:w="4845" w:type="dxa"/>
            <w:vAlign w:val="center"/>
            <w:textDirection w:val="lrTb"/>
            <w:noWrap w:val="false"/>
          </w:tcPr>
          <w:p>
            <w:pP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Cs/>
                <w:color w:val="auto"/>
                <w:sz w:val="24"/>
                <w:highlight w:val="none"/>
              </w:rPr>
              <w:t xml:space="preserve">根据供应商对本项目涉及水站提供的运行维护方案及运行管理制度的全面性、科学性、规范性、可行性、高效性等内容进行综合评价：运行维护方案及运行管理制度全面、科学、可行、规范高效的得</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分；运行维护方案及运行管理制度较全面、科学、可行、规范高效的得</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分；运行维护方案及运行管理制度全面性、科学性、可行性、规范高效性一般的得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分；运行维护方案及运行管理制度不太可行得1分；其余不得分。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8,6,3,1,0</w:t>
            </w:r>
            <w:r/>
          </w:p>
        </w:tc>
      </w:tr>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highlight w:val="none"/>
              </w:rPr>
              <w:t xml:space="preserve">供应商制定的集成系统和仪器的操作规程</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根据供应商对本项目的集成系统和仪器的熟悉程度所编制的操作规程的科学性、实用性、可行性等内容进行综合评价：操作规程科学、实用、可行的得</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分；操作规程较科学、较实用、较可行的得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分；操作规程科学性、实用性、可行性一般的得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分；其余不得分。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5,3,1,0</w:t>
            </w:r>
            <w:r/>
          </w:p>
        </w:tc>
      </w:tr>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供应商制定的质量控制方案</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根据供应商制定的质控方案、质控计划及基本制度的全面性、科学性、合理性、可操作性等内容进行综合评价：方案、计划、制度全面、科学、合理、可操作性强的得</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分；方案、计划、制度较全面、较科学、较合理、可操作性较强的得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分；方案、计划、制度全面性、科学性、合理性、可操作性一般的得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分；其余不得分。</w:t>
            </w:r>
            <w:r/>
          </w:p>
        </w:tc>
        <w:tc>
          <w:tcPr>
            <w:tcW w:w="896"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5,3,1,0</w:t>
            </w:r>
            <w:r/>
          </w:p>
        </w:tc>
      </w:tr>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供应商制定的水站接收方案</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供应商可申请对本项目全部水站的仪器设备运行情况进行现场勘察，根据接收方案进行综合评价，水站接收方案合理可行，提供所有站点的现场勘验报告并给出合理建议的得</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分；接收方案一般，勘察报告对现场仪器设备统计完整的得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分；接收方案较差，现场勘验情况不全、无相关建议的得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分；其余不得分。</w:t>
            </w:r>
            <w:r/>
          </w:p>
        </w:tc>
        <w:tc>
          <w:tcPr>
            <w:tcW w:w="896"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5,3,1,0</w:t>
            </w:r>
            <w:r/>
          </w:p>
        </w:tc>
      </w:tr>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供应商提供的仪器备件方案</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根据供应商提供的仪器备件方案完善性进行综合评价，仪器备件齐全、供应渠道完善，符合项目需求的得</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分；备件配备齐全但稍有不足，供应渠道存在不足的得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分；备件配备存在重大缺陷、供应渠道不完善的得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分；其余不得分。响应文件中须提供相关证明材料，并加盖公章，否则不得分。</w:t>
            </w:r>
            <w:r/>
          </w:p>
        </w:tc>
        <w:tc>
          <w:tcPr>
            <w:tcW w:w="896"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5,3,1,0</w:t>
            </w:r>
            <w:r/>
          </w:p>
        </w:tc>
      </w:tr>
      <w:tr>
        <w:trPr>
          <w:jc w:val="center"/>
        </w:trPr>
        <w:tc>
          <w:tcPr>
            <w:tcW w:w="80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c>
          <w:tcPr>
            <w:tcW w:w="1979"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供应商提供的确保水站仪器设备安全有效措施</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提供的确保水站仪器设备安全有效措施进行综合评价，考虑周到全面，能够涵盖消防、防盗、防撞、防雷各个方面的得4分；安全措施较完善但内容有缺失的得2分；安全措施不完善或无安全措施的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4,2,0</w:t>
            </w:r>
            <w:r/>
          </w:p>
        </w:tc>
      </w:tr>
      <w:tr>
        <w:trPr>
          <w:jc w:val="center"/>
        </w:trPr>
        <w:tc>
          <w:tcPr>
            <w:tcW w:w="80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p>
        </w:tc>
        <w:tc>
          <w:tcPr>
            <w:tcW w:w="197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供应商制定的水站应急方案</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提供的应急方案和应急能力等内容进行综合评价：内容包括突发性水质污染、特殊时期（丰水期、枯水期）、自然灾害、水电检修、临时停电或节假日、重大活动或被破坏等情况，是否具备有效的预警和应急的能力。方案切实可行、内容全面、措施合理、应急能力</w:t>
            </w:r>
            <w:r>
              <w:rPr>
                <w:rFonts w:hint="eastAsia" w:ascii="宋体" w:hAnsi="宋体" w:eastAsia="宋体" w:cs="宋体"/>
                <w:b w:val="0"/>
                <w:bCs/>
                <w:color w:val="auto"/>
                <w:sz w:val="24"/>
                <w:szCs w:val="24"/>
                <w:highlight w:val="none"/>
                <w:lang w:val="en-US" w:eastAsia="zh-CN"/>
              </w:rPr>
              <w:t xml:space="preserve">完全</w:t>
            </w:r>
            <w:r>
              <w:rPr>
                <w:rFonts w:hint="eastAsia" w:ascii="宋体" w:hAnsi="宋体" w:eastAsia="宋体" w:cs="宋体"/>
                <w:b w:val="0"/>
                <w:bCs/>
                <w:color w:val="auto"/>
                <w:sz w:val="24"/>
                <w:szCs w:val="24"/>
                <w:highlight w:val="none"/>
              </w:rPr>
              <w:t xml:space="preserve">满足项目需求的得</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分；方案内容</w:t>
            </w:r>
            <w:r>
              <w:rPr>
                <w:rFonts w:hint="eastAsia" w:ascii="宋体" w:hAnsi="宋体" w:eastAsia="宋体" w:cs="宋体"/>
                <w:b w:val="0"/>
                <w:bCs/>
                <w:color w:val="auto"/>
                <w:sz w:val="24"/>
                <w:szCs w:val="24"/>
                <w:highlight w:val="none"/>
                <w:lang w:val="en-US" w:eastAsia="zh-CN"/>
              </w:rPr>
              <w:t xml:space="preserve">较</w:t>
            </w:r>
            <w:r>
              <w:rPr>
                <w:rFonts w:hint="eastAsia" w:ascii="宋体" w:hAnsi="宋体" w:eastAsia="宋体" w:cs="宋体"/>
                <w:b w:val="0"/>
                <w:bCs/>
                <w:color w:val="auto"/>
                <w:sz w:val="24"/>
                <w:szCs w:val="24"/>
                <w:highlight w:val="none"/>
              </w:rPr>
              <w:t xml:space="preserve">全面、措施</w:t>
            </w:r>
            <w:r>
              <w:rPr>
                <w:rFonts w:hint="eastAsia" w:ascii="宋体" w:hAnsi="宋体" w:eastAsia="宋体" w:cs="宋体"/>
                <w:b w:val="0"/>
                <w:bCs/>
                <w:color w:val="auto"/>
                <w:sz w:val="24"/>
                <w:szCs w:val="24"/>
                <w:highlight w:val="none"/>
                <w:lang w:val="en-US" w:eastAsia="zh-CN"/>
              </w:rPr>
              <w:t xml:space="preserve">较</w:t>
            </w:r>
            <w:r>
              <w:rPr>
                <w:rFonts w:hint="eastAsia" w:ascii="宋体" w:hAnsi="宋体" w:eastAsia="宋体" w:cs="宋体"/>
                <w:b w:val="0"/>
                <w:bCs/>
                <w:color w:val="auto"/>
                <w:sz w:val="24"/>
                <w:szCs w:val="24"/>
                <w:highlight w:val="none"/>
              </w:rPr>
              <w:t xml:space="preserve">合理、应急能力</w:t>
            </w:r>
            <w:r>
              <w:rPr>
                <w:rFonts w:hint="eastAsia" w:ascii="宋体" w:hAnsi="宋体" w:eastAsia="宋体" w:cs="宋体"/>
                <w:b w:val="0"/>
                <w:bCs/>
                <w:color w:val="auto"/>
                <w:sz w:val="24"/>
                <w:szCs w:val="24"/>
                <w:highlight w:val="none"/>
                <w:lang w:val="en-US" w:eastAsia="zh-CN"/>
              </w:rPr>
              <w:t xml:space="preserve">基本</w:t>
            </w:r>
            <w:r>
              <w:rPr>
                <w:rFonts w:hint="eastAsia" w:ascii="宋体" w:hAnsi="宋体" w:eastAsia="宋体" w:cs="宋体"/>
                <w:b w:val="0"/>
                <w:bCs/>
                <w:color w:val="auto"/>
                <w:sz w:val="24"/>
                <w:szCs w:val="24"/>
                <w:highlight w:val="none"/>
              </w:rPr>
              <w:t xml:space="preserve">满足项目需求的得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内容不全或措施不尽合理的得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分；未提供应急方案或存在重大缺漏的此项不得分。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5,3,1,0</w:t>
            </w:r>
            <w:r/>
          </w:p>
        </w:tc>
      </w:tr>
      <w:tr>
        <w:trPr>
          <w:jc w:val="center"/>
        </w:trPr>
        <w:tc>
          <w:tcPr>
            <w:tcW w:w="80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w:t>
            </w:r>
            <w:r/>
          </w:p>
        </w:tc>
        <w:tc>
          <w:tcPr>
            <w:tcW w:w="197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应急监测车</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根据供应商应急监测车（车内需安装在线监测仪器，监测指标不少于常规9参数）配置情况进行综合评价：提供应急监测车内外照片、行驶证、保险、车辆配置清单等证明材料得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承诺并确保应急监测车4小时内能够到达本项目地开展应急监测的得2分。</w:t>
            </w:r>
            <w:r>
              <w:rPr>
                <w:rFonts w:hint="eastAsia" w:ascii="宋体" w:hAnsi="宋体" w:eastAsia="宋体" w:cs="宋体"/>
                <w:b w:val="0"/>
                <w:bCs/>
                <w:color w:val="auto"/>
                <w:sz w:val="24"/>
                <w:szCs w:val="24"/>
                <w:highlight w:val="none"/>
                <w:lang w:val="en-US" w:eastAsia="zh-CN"/>
              </w:rPr>
              <w:t xml:space="preserve">本项最多得3分。</w:t>
            </w:r>
            <w:r>
              <w:rPr>
                <w:rFonts w:hint="eastAsia" w:ascii="宋体" w:hAnsi="宋体" w:eastAsia="宋体" w:cs="宋体"/>
                <w:b w:val="0"/>
                <w:bCs/>
                <w:color w:val="auto"/>
                <w:sz w:val="24"/>
                <w:szCs w:val="24"/>
                <w:highlight w:val="none"/>
              </w:rPr>
              <w:t xml:space="preserve">响应文件中须提供相关证明材料</w:t>
            </w:r>
            <w:r>
              <w:rPr>
                <w:rFonts w:hint="eastAsia" w:ascii="宋体" w:hAnsi="宋体" w:eastAsia="宋体" w:cs="宋体"/>
                <w:b w:val="0"/>
                <w:bCs/>
                <w:color w:val="auto"/>
                <w:sz w:val="24"/>
                <w:szCs w:val="24"/>
                <w:highlight w:val="none"/>
                <w:lang w:val="en-US" w:eastAsia="zh-CN"/>
              </w:rPr>
              <w:t xml:space="preserve">和承诺函</w:t>
            </w:r>
            <w:r>
              <w:rPr>
                <w:rFonts w:hint="eastAsia" w:ascii="宋体" w:hAnsi="宋体" w:eastAsia="宋体" w:cs="宋体"/>
                <w:b w:val="0"/>
                <w:bCs/>
                <w:color w:val="auto"/>
                <w:sz w:val="24"/>
                <w:szCs w:val="24"/>
                <w:highlight w:val="none"/>
              </w:rPr>
              <w:t xml:space="preserve">，并加盖公章，否则不得分。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3,2,1,0</w:t>
            </w:r>
            <w:r/>
          </w:p>
        </w:tc>
      </w:tr>
      <w:tr>
        <w:trPr>
          <w:jc w:val="center"/>
        </w:trPr>
        <w:tc>
          <w:tcPr>
            <w:tcW w:w="80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p>
        </w:tc>
        <w:tc>
          <w:tcPr>
            <w:tcW w:w="197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供应商的服务时效</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根据供应商的服务时效（包括到现场响应时间、服务机构保障、服务物资保障等）进行综合评价，响应方便、快捷、及时、服务有保障得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分；响应较便捷、较及时、服务</w:t>
            </w:r>
            <w:r>
              <w:rPr>
                <w:rFonts w:hint="eastAsia" w:ascii="宋体" w:hAnsi="宋体" w:eastAsia="宋体" w:cs="宋体"/>
                <w:b w:val="0"/>
                <w:bCs/>
                <w:color w:val="auto"/>
                <w:sz w:val="24"/>
                <w:szCs w:val="24"/>
                <w:highlight w:val="none"/>
                <w:lang w:val="en-US" w:eastAsia="zh-CN"/>
              </w:rPr>
              <w:t xml:space="preserve">较</w:t>
            </w:r>
            <w:r>
              <w:rPr>
                <w:rFonts w:hint="eastAsia" w:ascii="宋体" w:hAnsi="宋体" w:eastAsia="宋体" w:cs="宋体"/>
                <w:b w:val="0"/>
                <w:bCs/>
                <w:color w:val="auto"/>
                <w:sz w:val="24"/>
                <w:szCs w:val="24"/>
                <w:highlight w:val="none"/>
              </w:rPr>
              <w:t xml:space="preserve">有保障的2分；响应基本及时得1分；其余不得分。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3,2,1,0</w:t>
            </w:r>
            <w:r/>
          </w:p>
        </w:tc>
      </w:tr>
      <w:tr>
        <w:trPr>
          <w:jc w:val="center"/>
        </w:trPr>
        <w:tc>
          <w:tcPr>
            <w:tcW w:w="80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p>
        </w:tc>
        <w:tc>
          <w:tcPr>
            <w:tcW w:w="197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供应商制定的水站废液安全管控制度</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根据供应商提供的试剂及废液安全管控制度及实际举措证明进行综合评价：制度完善、举措可行得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分；制度较完善、举措较可行得2分；制度基本完善、举措基本可行得1分；其余不得分。</w:t>
            </w:r>
            <w:r/>
          </w:p>
        </w:tc>
        <w:tc>
          <w:tcPr>
            <w:tcW w:w="896"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3,2,1,0</w:t>
            </w:r>
            <w:r/>
          </w:p>
        </w:tc>
      </w:tr>
      <w:tr>
        <w:trPr>
          <w:jc w:val="center"/>
        </w:trPr>
        <w:tc>
          <w:tcPr>
            <w:tcW w:w="80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w:t>
            </w:r>
            <w:r/>
          </w:p>
        </w:tc>
        <w:tc>
          <w:tcPr>
            <w:tcW w:w="197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供应商对协助采购单位其他工作进行综合评价</w:t>
            </w:r>
            <w:r/>
          </w:p>
        </w:tc>
        <w:tc>
          <w:tcPr>
            <w:tcW w:w="48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对协助采购单位做好水站固定资产管理工作，做好水站日常监控管理，档案管理等具体措施情况进行综合评价，能够满足采购文件要求的内容，措施全面、合理的得3分；内容不全或不尽合理得1分；其余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3,1,0</w:t>
            </w:r>
            <w:r/>
          </w:p>
        </w:tc>
      </w:tr>
      <w:tr>
        <w:trPr>
          <w:jc w:val="center"/>
        </w:trPr>
        <w:tc>
          <w:tcPr>
            <w:tcW w:w="80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w:t>
            </w:r>
            <w:r/>
          </w:p>
        </w:tc>
        <w:tc>
          <w:tcPr>
            <w:tcW w:w="1979"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供应商制定水站智能化升级改造方案</w:t>
            </w:r>
            <w:r/>
          </w:p>
        </w:tc>
        <w:tc>
          <w:tcPr>
            <w:tcW w:w="4845" w:type="dxa"/>
            <w:vAlign w:val="center"/>
            <w:textDirection w:val="lrTb"/>
            <w:noWrap w:val="false"/>
          </w:tcPr>
          <w:p>
            <w:pPr>
              <w:jc w:val="center"/>
              <w:spacing w:line="240" w:lineRule="auto"/>
              <w:rPr>
                <w:rFonts w:hint="default" w:ascii="宋体" w:hAnsi="宋体" w:eastAsia="方正小标宋_GBK"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w:t>
            </w:r>
            <w:r>
              <w:rPr>
                <w:rFonts w:hint="eastAsia" w:ascii="宋体" w:hAnsi="宋体" w:eastAsia="宋体" w:cs="宋体"/>
                <w:bCs/>
                <w:color w:val="auto"/>
                <w:sz w:val="24"/>
                <w:szCs w:val="24"/>
                <w:highlight w:val="none"/>
                <w:lang w:val="en-US" w:eastAsia="zh-CN"/>
              </w:rPr>
              <w:t xml:space="preserve">站智能化升级改造方案包括了</w:t>
            </w:r>
            <w:r>
              <w:rPr>
                <w:rFonts w:hint="eastAsia" w:ascii="宋体" w:hAnsi="宋体" w:eastAsia="宋体" w:cs="宋体"/>
                <w:bCs/>
                <w:color w:val="auto"/>
                <w:sz w:val="24"/>
                <w:szCs w:val="24"/>
                <w:highlight w:val="none"/>
              </w:rPr>
              <w:t xml:space="preserve">常规五参数、高锰酸盐指数、氨氮、总磷、总氮等关键指标的自动化监测能力，集成自动巡检、智能质控、智能审核等功能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方案内容完善并能提供视频演示证明的得10分；方案内容完善，不能提供视频演示证明得8分；方案内容基本完善并能提供视频演示证明的得6分；方案内容基本完善，不能提供视频演示证明的得4分；方案</w:t>
            </w:r>
            <w:r>
              <w:rPr>
                <w:rFonts w:hint="eastAsia" w:ascii="宋体" w:hAnsi="宋体" w:eastAsia="宋体" w:cs="宋体"/>
                <w:b w:val="0"/>
                <w:bCs/>
                <w:color w:val="auto"/>
                <w:sz w:val="24"/>
                <w:szCs w:val="24"/>
                <w:highlight w:val="none"/>
              </w:rPr>
              <w:t xml:space="preserve">内容不全或不合理得1分；其余不得分。</w:t>
            </w:r>
            <w:r/>
          </w:p>
        </w:tc>
        <w:tc>
          <w:tcPr>
            <w:tcW w:w="896"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10,8,6,4,1,0</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31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645"/>
        <w:gridCol w:w="4895"/>
        <w:gridCol w:w="1251"/>
      </w:tblGrid>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16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评分项名称</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评分标准</w:t>
            </w:r>
            <w:r/>
          </w:p>
        </w:tc>
        <w:tc>
          <w:tcPr>
            <w:tcW w:w="12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分值</w:t>
            </w:r>
            <w:r/>
          </w:p>
        </w:tc>
      </w:tr>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645"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项目负责人</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具备环境类专业高级职称的得3分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具备环境类专业</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级职称的得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分。响应文件中须提供相关</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val="en-US" w:eastAsia="zh-CN"/>
              </w:rPr>
              <w:t xml:space="preserve">响应单位为其缴纳的</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个月职工社会保险缴纳证明</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，并加盖公章，否则不得分。</w:t>
            </w:r>
            <w:r/>
          </w:p>
        </w:tc>
        <w:tc>
          <w:tcPr>
            <w:tcW w:w="125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3,1,0</w:t>
            </w:r>
            <w:r/>
          </w:p>
        </w:tc>
      </w:tr>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1645"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运行维护人员</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具备省级以上环境监测人员培训合格证书或水站运维上岗证书，能为本项目提供相应服务，人员充足（6人及以上）得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分；人员较充足（5人）得3分；人员基本充足（4人）得1分；其余不得分。响应文件中须提供运行维护人员聘用合同及</w:t>
            </w:r>
            <w:r>
              <w:rPr>
                <w:rFonts w:hint="eastAsia" w:ascii="宋体" w:hAnsi="宋体" w:eastAsia="宋体" w:cs="宋体"/>
                <w:color w:val="auto"/>
                <w:sz w:val="24"/>
                <w:szCs w:val="24"/>
                <w:highlight w:val="none"/>
                <w:lang w:val="en-US" w:eastAsia="zh-CN"/>
              </w:rPr>
              <w:t xml:space="preserve">响应单位为其缴纳的</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个月职工社会保险缴纳证明</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、培训合格证明或其他证明材料，并加盖公章，否则不得分。</w:t>
            </w:r>
            <w:r/>
          </w:p>
        </w:tc>
        <w:tc>
          <w:tcPr>
            <w:tcW w:w="125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5,3,1,0</w:t>
            </w:r>
            <w:r/>
          </w:p>
        </w:tc>
      </w:tr>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1645"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rPr>
            </w:pPr>
            <w:r>
              <w:rPr>
                <w:rFonts w:hint="eastAsia" w:ascii="宋体" w:hAnsi="宋体" w:eastAsia="宋体" w:cs="宋体"/>
                <w:color w:val="auto"/>
                <w:sz w:val="24"/>
                <w:szCs w:val="24"/>
                <w:highlight w:val="none"/>
              </w:rPr>
              <w:t xml:space="preserve">水质综合分析人员</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具有硕士及以上学历，且有相关工作经验2年以上得3分；具备本科及以上学历且有相关工作经验2年以上得2分；具备本科及以上学历且有相关工作经验1年以上得1分；其余不得分。响应文件中须提供人员聘用合同及</w:t>
            </w:r>
            <w:r>
              <w:rPr>
                <w:rFonts w:hint="eastAsia" w:ascii="宋体" w:hAnsi="宋体" w:eastAsia="宋体" w:cs="宋体"/>
                <w:color w:val="auto"/>
                <w:sz w:val="24"/>
                <w:szCs w:val="24"/>
                <w:highlight w:val="none"/>
                <w:lang w:val="en-US" w:eastAsia="zh-CN"/>
              </w:rPr>
              <w:t xml:space="preserve">响应单位为其缴纳的</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个月职工社会保险缴纳证明</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、培训合格证明或其他证明材料，并加盖公章，否则不得分。</w:t>
            </w:r>
            <w:r/>
          </w:p>
        </w:tc>
        <w:tc>
          <w:tcPr>
            <w:tcW w:w="125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3,2,1,0</w:t>
            </w:r>
            <w:r/>
          </w:p>
        </w:tc>
      </w:tr>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tcW w:w="1645"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rPr>
            </w:pPr>
            <w:r>
              <w:rPr>
                <w:rFonts w:hint="eastAsia" w:ascii="宋体" w:hAnsi="宋体" w:eastAsia="宋体" w:cs="宋体"/>
                <w:color w:val="auto"/>
                <w:sz w:val="24"/>
                <w:szCs w:val="24"/>
                <w:highlight w:val="none"/>
                <w:lang w:bidi="ar"/>
              </w:rPr>
              <w:t xml:space="preserve">实验室</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bidi="ar"/>
              </w:rPr>
              <w:t xml:space="preserve">本身自有（可以为控股）</w:t>
            </w:r>
            <w:r>
              <w:rPr>
                <w:rFonts w:hint="eastAsia" w:ascii="宋体" w:hAnsi="宋体" w:eastAsia="宋体" w:cs="宋体"/>
                <w:color w:val="auto"/>
                <w:sz w:val="24"/>
                <w:szCs w:val="24"/>
                <w:highlight w:val="none"/>
                <w:lang w:val="en-US" w:eastAsia="zh-CN" w:bidi="ar"/>
              </w:rPr>
              <w:t xml:space="preserve">或</w:t>
            </w:r>
            <w:r>
              <w:rPr>
                <w:rFonts w:hint="eastAsia" w:ascii="宋体" w:hAnsi="宋体" w:eastAsia="宋体" w:cs="宋体"/>
                <w:color w:val="auto"/>
                <w:sz w:val="24"/>
                <w:szCs w:val="24"/>
                <w:highlight w:val="none"/>
                <w:lang w:bidi="ar"/>
              </w:rPr>
              <w:t xml:space="preserve">委托</w:t>
            </w:r>
            <w:r>
              <w:rPr>
                <w:rFonts w:hint="eastAsia" w:ascii="宋体" w:hAnsi="宋体" w:eastAsia="宋体" w:cs="宋体"/>
                <w:color w:val="auto"/>
                <w:sz w:val="24"/>
                <w:szCs w:val="24"/>
                <w:highlight w:val="none"/>
                <w:lang w:val="en-US" w:eastAsia="zh-CN" w:bidi="ar"/>
              </w:rPr>
              <w:t xml:space="preserve">或</w:t>
            </w:r>
            <w:r>
              <w:rPr>
                <w:rFonts w:hint="eastAsia" w:ascii="宋体" w:hAnsi="宋体" w:eastAsia="宋体" w:cs="宋体"/>
                <w:color w:val="auto"/>
                <w:sz w:val="24"/>
                <w:szCs w:val="24"/>
                <w:highlight w:val="none"/>
                <w:lang w:bidi="ar"/>
              </w:rPr>
              <w:t xml:space="preserve">承诺成交后</w:t>
            </w:r>
            <w:r>
              <w:rPr>
                <w:rFonts w:hint="eastAsia" w:ascii="宋体" w:hAnsi="宋体" w:eastAsia="宋体" w:cs="宋体"/>
                <w:color w:val="auto"/>
                <w:sz w:val="24"/>
                <w:szCs w:val="24"/>
                <w:highlight w:val="none"/>
                <w:lang w:val="en-US" w:eastAsia="zh-CN" w:bidi="ar"/>
              </w:rPr>
              <w:t xml:space="preserve">具有</w:t>
            </w:r>
            <w:r>
              <w:rPr>
                <w:rFonts w:hint="eastAsia" w:ascii="宋体" w:hAnsi="宋体" w:eastAsia="宋体" w:cs="宋体"/>
                <w:color w:val="auto"/>
                <w:sz w:val="24"/>
                <w:szCs w:val="24"/>
                <w:highlight w:val="none"/>
                <w:lang w:bidi="ar"/>
              </w:rPr>
              <w:t xml:space="preserve">用于质量控制的CMA或CNAS资质认定的实验室，</w:t>
            </w:r>
            <w:r>
              <w:rPr>
                <w:rFonts w:hint="eastAsia" w:ascii="宋体" w:hAnsi="宋体" w:eastAsia="宋体" w:cs="宋体"/>
                <w:color w:val="auto"/>
                <w:sz w:val="24"/>
                <w:szCs w:val="24"/>
                <w:highlight w:val="none"/>
              </w:rPr>
              <w:t xml:space="preserve">认证范围需包含pH值、水温、溶解氧、电导率、浊度、氨氮、高锰酸盐指数、总磷、总氮</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bidi="ar"/>
              </w:rPr>
              <w:t xml:space="preserve">本身自有（可以为控股）</w:t>
            </w:r>
            <w:r>
              <w:rPr>
                <w:rFonts w:hint="eastAsia" w:ascii="宋体" w:hAnsi="宋体" w:eastAsia="宋体" w:cs="宋体"/>
                <w:color w:val="auto"/>
                <w:sz w:val="24"/>
                <w:szCs w:val="24"/>
                <w:highlight w:val="none"/>
                <w:lang w:val="en-US" w:eastAsia="zh-CN" w:bidi="ar"/>
              </w:rPr>
              <w:t xml:space="preserve">或</w:t>
            </w:r>
            <w:r>
              <w:rPr>
                <w:rFonts w:hint="eastAsia" w:ascii="宋体" w:hAnsi="宋体" w:eastAsia="宋体" w:cs="宋体"/>
                <w:color w:val="auto"/>
                <w:sz w:val="24"/>
                <w:szCs w:val="24"/>
                <w:highlight w:val="none"/>
                <w:lang w:bidi="ar"/>
              </w:rPr>
              <w:t xml:space="preserve">委托</w:t>
            </w:r>
            <w:r>
              <w:rPr>
                <w:rFonts w:hint="eastAsia" w:ascii="宋体" w:hAnsi="宋体" w:eastAsia="宋体" w:cs="宋体"/>
                <w:color w:val="auto"/>
                <w:sz w:val="24"/>
                <w:szCs w:val="24"/>
                <w:highlight w:val="none"/>
                <w:lang w:val="en-US" w:eastAsia="zh-CN" w:bidi="ar"/>
              </w:rPr>
              <w:t xml:space="preserve">或</w:t>
            </w:r>
            <w:r>
              <w:rPr>
                <w:rFonts w:hint="eastAsia" w:ascii="宋体" w:hAnsi="宋体" w:eastAsia="宋体" w:cs="宋体"/>
                <w:color w:val="auto"/>
                <w:sz w:val="24"/>
                <w:szCs w:val="24"/>
                <w:highlight w:val="none"/>
                <w:lang w:bidi="ar"/>
              </w:rPr>
              <w:t xml:space="preserve">承诺成交后</w:t>
            </w:r>
            <w:r>
              <w:rPr>
                <w:rFonts w:hint="eastAsia" w:ascii="宋体" w:hAnsi="宋体" w:eastAsia="宋体" w:cs="宋体"/>
                <w:color w:val="auto"/>
                <w:sz w:val="24"/>
                <w:szCs w:val="24"/>
                <w:highlight w:val="none"/>
                <w:lang w:val="en-US" w:eastAsia="zh-CN" w:bidi="ar"/>
              </w:rPr>
              <w:t xml:space="preserve">具有</w:t>
            </w:r>
            <w:r>
              <w:rPr>
                <w:rFonts w:hint="eastAsia" w:ascii="宋体" w:hAnsi="宋体" w:eastAsia="宋体" w:cs="宋体"/>
                <w:color w:val="auto"/>
                <w:sz w:val="24"/>
                <w:szCs w:val="24"/>
                <w:highlight w:val="none"/>
                <w:lang w:bidi="ar"/>
              </w:rPr>
              <w:t xml:space="preserve">用于质量控制的实验室，</w:t>
            </w:r>
            <w:r>
              <w:rPr>
                <w:rFonts w:hint="eastAsia" w:ascii="宋体" w:hAnsi="宋体" w:eastAsia="宋体" w:cs="宋体"/>
                <w:color w:val="auto"/>
                <w:sz w:val="24"/>
                <w:szCs w:val="24"/>
                <w:highlight w:val="none"/>
              </w:rPr>
              <w:t xml:space="preserve">认证范围需包含pH值、水温、溶解氧、电导率、浊度、氨氮、高锰酸盐指数、总磷、总氮</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响应文件中须提供相关证明材料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委托的，委托协议须覆盖本次采购运行维护周期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或相关承诺函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并加盖公章，否则不得分</w:t>
            </w:r>
            <w:r>
              <w:rPr>
                <w:rFonts w:hint="eastAsia" w:ascii="宋体" w:hAnsi="宋体" w:eastAsia="宋体" w:cs="宋体"/>
                <w:color w:val="auto"/>
                <w:sz w:val="24"/>
                <w:szCs w:val="24"/>
                <w:highlight w:val="none"/>
                <w:lang w:eastAsia="zh-CN" w:bidi="ar"/>
              </w:rPr>
              <w:t xml:space="preserve">。</w:t>
            </w:r>
            <w:r/>
          </w:p>
        </w:tc>
        <w:tc>
          <w:tcPr>
            <w:tcW w:w="125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5,2,0</w:t>
            </w:r>
            <w:r/>
          </w:p>
        </w:tc>
      </w:tr>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tcW w:w="16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体系认证证书</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供应商具有有效的质量管理体系、环境管理体系、信息安全管理体系认证证书，每个得1分，最多得3分。响应文件中须提供相应证书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zh-TW" w:eastAsia="zh-CN"/>
              </w:rPr>
              <w:t xml:space="preserve">在中国国家认证认可监督管理委员会网站（</w:t>
            </w:r>
            <w:r>
              <w:rPr>
                <w:rFonts w:hint="eastAsia" w:ascii="宋体" w:hAnsi="宋体" w:eastAsia="宋体" w:cs="宋体"/>
                <w:b w:val="0"/>
                <w:bCs w:val="0"/>
                <w:color w:val="auto"/>
                <w:sz w:val="24"/>
                <w:szCs w:val="24"/>
                <w:highlight w:val="none"/>
                <w:lang w:val="zh-TW" w:eastAsia="zh-CN"/>
              </w:rPr>
              <w:fldChar w:fldCharType="begin"/>
            </w:r>
            <w:r>
              <w:rPr>
                <w:rFonts w:hint="eastAsia" w:ascii="宋体" w:hAnsi="宋体" w:eastAsia="宋体" w:cs="宋体"/>
                <w:b w:val="0"/>
                <w:bCs w:val="0"/>
                <w:color w:val="auto"/>
                <w:sz w:val="24"/>
                <w:szCs w:val="24"/>
                <w:highlight w:val="none"/>
                <w:lang w:val="zh-TW" w:eastAsia="zh-CN"/>
              </w:rPr>
              <w:instrText xml:space="preserve"> HYPERLINK "http://www.cnca.gov.cn/" </w:instrText>
            </w:r>
            <w:r>
              <w:rPr>
                <w:rFonts w:hint="eastAsia" w:ascii="宋体" w:hAnsi="宋体" w:eastAsia="宋体" w:cs="宋体"/>
                <w:b w:val="0"/>
                <w:bCs w:val="0"/>
                <w:color w:val="auto"/>
                <w:sz w:val="24"/>
                <w:szCs w:val="24"/>
                <w:highlight w:val="none"/>
                <w:lang w:val="zh-TW" w:eastAsia="zh-CN"/>
              </w:rPr>
              <w:fldChar w:fldCharType="separate"/>
            </w:r>
            <w:r>
              <w:rPr>
                <w:rFonts w:hint="eastAsia" w:ascii="宋体" w:hAnsi="宋体" w:eastAsia="宋体" w:cs="宋体"/>
                <w:b w:val="0"/>
                <w:bCs w:val="0"/>
                <w:color w:val="auto"/>
                <w:sz w:val="24"/>
                <w:szCs w:val="24"/>
                <w:highlight w:val="none"/>
                <w:lang w:val="zh-TW" w:eastAsia="zh-CN"/>
              </w:rPr>
              <w:t xml:space="preserve">http://www.cnca.gov.cn/</w:t>
            </w:r>
            <w:r>
              <w:rPr>
                <w:rFonts w:hint="eastAsia" w:ascii="宋体" w:hAnsi="宋体" w:eastAsia="宋体" w:cs="宋体"/>
                <w:b w:val="0"/>
                <w:bCs w:val="0"/>
                <w:color w:val="auto"/>
                <w:sz w:val="24"/>
                <w:szCs w:val="24"/>
                <w:highlight w:val="none"/>
                <w:lang w:val="zh-TW" w:eastAsia="zh-CN"/>
              </w:rPr>
              <w:fldChar w:fldCharType="end"/>
            </w:r>
            <w:r>
              <w:rPr>
                <w:rFonts w:hint="eastAsia" w:ascii="宋体" w:hAnsi="宋体" w:eastAsia="宋体" w:cs="宋体"/>
                <w:b w:val="0"/>
                <w:bCs w:val="0"/>
                <w:color w:val="auto"/>
                <w:sz w:val="24"/>
                <w:szCs w:val="24"/>
                <w:highlight w:val="none"/>
                <w:lang w:val="zh-TW" w:eastAsia="zh-CN"/>
              </w:rPr>
              <w:t xml:space="preserve">）查询截图</w:t>
            </w:r>
            <w:r>
              <w:rPr>
                <w:rFonts w:hint="eastAsia" w:ascii="宋体" w:hAnsi="宋体" w:eastAsia="宋体" w:cs="宋体"/>
                <w:color w:val="auto"/>
                <w:sz w:val="24"/>
                <w:szCs w:val="24"/>
                <w:highlight w:val="none"/>
              </w:rPr>
              <w:t xml:space="preserve">，不提供或提供不全的不得分。</w:t>
            </w:r>
            <w:r/>
          </w:p>
        </w:tc>
        <w:tc>
          <w:tcPr>
            <w:tcW w:w="125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3,2,1,0</w:t>
            </w:r>
            <w:r/>
          </w:p>
        </w:tc>
      </w:tr>
      <w:tr>
        <w:trPr>
          <w:jc w:val="center"/>
        </w:trPr>
        <w:tc>
          <w:tcPr>
            <w:tcW w:w="7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c>
          <w:tcPr>
            <w:tcW w:w="164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项目业绩</w:t>
            </w:r>
            <w:r/>
          </w:p>
        </w:tc>
        <w:tc>
          <w:tcPr>
            <w:tcW w:w="4895"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自2022年1月1日以来（以合同</w:t>
            </w:r>
            <w:r>
              <w:rPr>
                <w:rFonts w:hint="eastAsia" w:ascii="宋体" w:hAnsi="宋体" w:eastAsia="宋体" w:cs="宋体"/>
                <w:color w:val="auto"/>
                <w:sz w:val="24"/>
                <w:szCs w:val="24"/>
                <w:highlight w:val="none"/>
                <w:lang w:val="en-US" w:eastAsia="zh-CN"/>
              </w:rPr>
              <w:t xml:space="preserve">、协议、任务书等具有双方盖章的正式文件签署</w:t>
            </w:r>
            <w:r>
              <w:rPr>
                <w:rFonts w:hint="eastAsia" w:ascii="宋体" w:hAnsi="宋体" w:eastAsia="宋体" w:cs="宋体"/>
                <w:color w:val="auto"/>
                <w:sz w:val="24"/>
                <w:szCs w:val="24"/>
                <w:highlight w:val="none"/>
              </w:rPr>
              <w:t xml:space="preserve">日期为准）承担过的类似业绩，类似业绩</w:t>
            </w:r>
            <w:r>
              <w:rPr>
                <w:rFonts w:hint="eastAsia" w:ascii="宋体" w:hAnsi="宋体" w:eastAsia="宋体" w:cs="宋体"/>
                <w:color w:val="auto"/>
                <w:sz w:val="24"/>
                <w:szCs w:val="24"/>
                <w:highlight w:val="none"/>
                <w:lang w:val="en-US" w:eastAsia="zh-CN"/>
              </w:rPr>
              <w:t xml:space="preserve">涉及水源地自动站运维的，</w:t>
            </w:r>
            <w:r>
              <w:rPr>
                <w:rFonts w:hint="eastAsia" w:ascii="宋体" w:hAnsi="宋体" w:eastAsia="宋体" w:cs="宋体"/>
                <w:color w:val="auto"/>
                <w:sz w:val="24"/>
                <w:szCs w:val="24"/>
                <w:highlight w:val="none"/>
              </w:rPr>
              <w:t xml:space="preserve">每个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得2分，最多得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类似</w:t>
            </w:r>
            <w:r>
              <w:rPr>
                <w:rFonts w:hint="eastAsia" w:ascii="宋体" w:hAnsi="宋体" w:eastAsia="宋体" w:cs="宋体"/>
                <w:color w:val="auto"/>
                <w:sz w:val="24"/>
                <w:szCs w:val="24"/>
                <w:highlight w:val="none"/>
                <w:lang w:val="en-US" w:eastAsia="zh-CN"/>
              </w:rPr>
              <w:t xml:space="preserve">业绩涉及氟化物分析仪、生物毒性仪、污染预警溯源仪、VOCs监测仪、藻类分析仪、挥发酚分析仪运维的，每涉及一类得1分，最多得6分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类似业绩</w:t>
            </w:r>
            <w:r>
              <w:rPr>
                <w:rFonts w:hint="eastAsia" w:ascii="宋体" w:hAnsi="宋体" w:eastAsia="宋体" w:cs="宋体"/>
                <w:color w:val="auto"/>
                <w:sz w:val="24"/>
                <w:szCs w:val="24"/>
                <w:highlight w:val="none"/>
                <w:lang w:val="en-US" w:eastAsia="zh-CN"/>
              </w:rPr>
              <w:t xml:space="preserve">涉及自动站智能化升级改造的</w:t>
            </w:r>
            <w:r>
              <w:rPr>
                <w:rFonts w:hint="eastAsia" w:ascii="宋体" w:hAnsi="宋体" w:eastAsia="宋体" w:cs="宋体"/>
                <w:color w:val="auto"/>
                <w:sz w:val="24"/>
                <w:szCs w:val="24"/>
                <w:highlight w:val="none"/>
              </w:rPr>
              <w:t xml:space="preserve">每个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strike w:val="0"/>
                <w:color w:val="auto"/>
                <w:sz w:val="24"/>
                <w:szCs w:val="24"/>
                <w:highlight w:val="none"/>
                <w:lang w:val="en-US" w:eastAsia="zh-CN"/>
              </w:rPr>
              <w:t xml:space="preserve">本项最多得12分。</w:t>
            </w:r>
            <w:r>
              <w:rPr>
                <w:rFonts w:hint="eastAsia" w:ascii="宋体" w:hAnsi="宋体" w:eastAsia="宋体" w:cs="宋体"/>
                <w:color w:val="auto"/>
                <w:sz w:val="24"/>
                <w:szCs w:val="24"/>
                <w:highlight w:val="none"/>
              </w:rPr>
              <w:t xml:space="preserve">响应文件中须提供完整</w:t>
            </w:r>
            <w:r>
              <w:rPr>
                <w:rFonts w:hint="eastAsia" w:ascii="宋体" w:hAnsi="宋体" w:eastAsia="宋体" w:cs="宋体"/>
                <w:color w:val="auto"/>
                <w:sz w:val="24"/>
                <w:szCs w:val="24"/>
                <w:highlight w:val="none"/>
                <w:lang w:val="en-US" w:eastAsia="zh-CN"/>
              </w:rPr>
              <w:t xml:space="preserve">文件及相关</w:t>
            </w:r>
            <w:r>
              <w:rPr>
                <w:rFonts w:hint="eastAsia" w:ascii="宋体" w:hAnsi="宋体" w:eastAsia="宋体" w:cs="宋体"/>
                <w:strike w:val="0"/>
                <w:color w:val="auto"/>
                <w:sz w:val="24"/>
                <w:szCs w:val="24"/>
                <w:highlight w:val="none"/>
              </w:rPr>
              <w:t xml:space="preserve">考核验收</w:t>
            </w:r>
            <w:r>
              <w:rPr>
                <w:rFonts w:hint="eastAsia" w:ascii="宋体" w:hAnsi="宋体" w:eastAsia="宋体" w:cs="宋体"/>
                <w:strike w:val="0"/>
                <w:color w:val="auto"/>
                <w:sz w:val="24"/>
                <w:szCs w:val="24"/>
                <w:highlight w:val="none"/>
                <w:lang w:val="en-US" w:eastAsia="zh-CN"/>
              </w:rPr>
              <w:t xml:space="preserve">通过</w:t>
            </w:r>
            <w:r>
              <w:rPr>
                <w:rFonts w:hint="eastAsia" w:ascii="宋体" w:hAnsi="宋体" w:eastAsia="宋体" w:cs="宋体"/>
                <w:strike w:val="0"/>
                <w:color w:val="auto"/>
                <w:sz w:val="24"/>
                <w:szCs w:val="24"/>
                <w:highlight w:val="none"/>
              </w:rPr>
              <w:t xml:space="preserve">报告</w:t>
            </w:r>
            <w:r>
              <w:rPr>
                <w:rFonts w:hint="eastAsia" w:ascii="宋体" w:hAnsi="宋体" w:eastAsia="宋体" w:cs="宋体"/>
                <w:strike w:val="0"/>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，并加盖公章，否则不得分。</w:t>
            </w:r>
            <w:r/>
          </w:p>
        </w:tc>
        <w:tc>
          <w:tcPr>
            <w:tcW w:w="125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12,11,10,9,8,7,6,5,4,3,2,0</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47" w:name="OLE_LINK13"/>
      <w:r>
        <w:rPr>
          <w:rFonts w:hint="eastAsia" w:ascii="宋体" w:hAnsi="宋体" w:eastAsia="宋体" w:cs="宋体"/>
          <w:b w:val="0"/>
          <w:bCs w:val="0"/>
          <w:color w:val="auto"/>
          <w:sz w:val="24"/>
          <w:szCs w:val="24"/>
          <w:highlight w:val="none"/>
          <w:lang w:val="zh-CN"/>
        </w:rPr>
        <w:t xml:space="preserve">（国办发［2025］34号）</w:t>
      </w:r>
      <w:bookmarkEnd w:id="47"/>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符合本国产品标准的声明函》（格式见第三章），或财政部会同有关部门规定的有关证明文件。供应商需在《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8"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48"/>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959"/>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49" w:name="OLE_LINK8"/>
      <w:r/>
      <w:bookmarkStart w:id="50" w:name="OLE_LINK9"/>
      <w:r>
        <w:rPr>
          <w:rFonts w:hint="eastAsia" w:ascii="宋体" w:hAnsi="宋体" w:eastAsia="宋体" w:cs="宋体"/>
          <w:color w:val="auto"/>
          <w:sz w:val="24"/>
          <w:szCs w:val="24"/>
          <w:highlight w:val="none"/>
        </w:rPr>
        <w:t xml:space="preserve">接受供应商为联合体投标（响应）</w:t>
      </w:r>
      <w:bookmarkEnd w:id="49"/>
      <w:r/>
      <w:bookmarkEnd w:id="50"/>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71"/>
        <w:jc w:val="center"/>
        <w:keepLines/>
        <w:keepNext/>
        <w:pageBreakBefore w:val="0"/>
        <w:spacing w:before="0" w:after="0" w:line="360" w:lineRule="auto"/>
        <w:widowControl w:val="off"/>
        <w:rPr>
          <w:rFonts w:hint="eastAsia" w:ascii="宋体" w:hAnsi="宋体" w:eastAsia="宋体"/>
          <w:color w:val="auto"/>
          <w:sz w:val="52"/>
          <w:highlight w:val="none"/>
        </w:rPr>
      </w:pPr>
      <w:r/>
      <w:bookmarkStart w:id="51" w:name="_Toc9026"/>
      <w:r>
        <w:rPr>
          <w:rFonts w:hint="eastAsia" w:ascii="宋体" w:hAnsi="宋体" w:eastAsia="宋体"/>
          <w:color w:val="auto"/>
          <w:sz w:val="52"/>
          <w:highlight w:val="none"/>
        </w:rPr>
        <w:t xml:space="preserve">第七章 附件</w:t>
      </w:r>
      <w:bookmarkEnd w:id="51"/>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附件1：政府采购合同信用融资政策告知函</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附件2：中小企业</w:t>
      </w:r>
      <w:r>
        <w:rPr>
          <w:rFonts w:hint="eastAsia" w:ascii="宋体" w:hAnsi="宋体" w:eastAsia="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978"/>
        <w:ind w:firstLine="0"/>
        <w:jc w:val="lef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：数据服务配套设备技术要求</w:t>
      </w:r>
      <w:r/>
    </w:p>
    <w:p>
      <w:pPr>
        <w:pStyle w:val="978"/>
        <w:ind w:firstLine="0"/>
        <w:jc w:val="left"/>
        <w:rPr>
          <w:rFonts w:hint="eastAsia" w:ascii="宋体" w:hAnsi="宋体"/>
          <w:b/>
          <w:bCs/>
          <w:color w:val="auto"/>
          <w:highlight w:val="none"/>
        </w:rPr>
      </w:pPr>
      <w:r>
        <w:rPr>
          <w:rFonts w:hint="eastAsia" w:ascii="宋体" w:hAnsi="宋体"/>
          <w:b/>
          <w:bCs/>
          <w:color w:val="auto"/>
          <w:highlight w:val="none"/>
        </w:rPr>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br w:type="page" w:clear="all"/>
      </w:r>
      <w:r/>
    </w:p>
    <w:p>
      <w:pPr>
        <w:jc w:val="left"/>
        <w:spacing w:line="360" w:lineRule="auto"/>
        <w:widowControl/>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附件1：</w:t>
      </w:r>
      <w:r/>
    </w:p>
    <w:p>
      <w:pPr>
        <w:jc w:val="center"/>
        <w:spacing w:line="360" w:lineRule="auto"/>
        <w:widowControl/>
        <w:rPr>
          <w:rFonts w:hint="eastAsia" w:ascii="宋体" w:hAnsi="宋体" w:eastAsia="宋体"/>
          <w:b/>
          <w:color w:val="auto"/>
          <w:sz w:val="24"/>
          <w:szCs w:val="24"/>
          <w:highlight w:val="none"/>
        </w:rPr>
      </w:pPr>
      <w:r>
        <w:rPr>
          <w:rFonts w:ascii="宋体" w:hAnsi="宋体" w:eastAsia="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各政府采购供应商：</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br w:type="page" w:clear="all"/>
      </w:r>
      <w:r/>
    </w:p>
    <w:p>
      <w:pPr>
        <w:pStyle w:val="978"/>
        <w:ind w:firstLine="0"/>
        <w:jc w:val="left"/>
        <w:rPr>
          <w:rFonts w:hint="eastAsia" w:ascii="宋体" w:hAnsi="宋体"/>
          <w:b/>
          <w:bCs/>
          <w:color w:val="auto"/>
          <w:highlight w:val="none"/>
        </w:rPr>
      </w:pPr>
      <w:r>
        <w:rPr>
          <w:rFonts w:hint="eastAsia" w:ascii="宋体" w:hAnsi="宋体"/>
          <w:b/>
          <w:bCs/>
          <w:color w:val="auto"/>
          <w:highlight w:val="none"/>
        </w:rPr>
        <w:t xml:space="preserve">附件2：</w:t>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中小企业</w:t>
      </w:r>
      <w:r>
        <w:rPr>
          <w:rFonts w:hint="eastAsia" w:ascii="宋体" w:hAnsi="宋体" w:eastAsia="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color w:val="auto"/>
          <w:sz w:val="24"/>
          <w:szCs w:val="24"/>
          <w:highlight w:val="none"/>
        </w:rPr>
        <w:t xml:space="preserve">本采购标的对应的中小企业划分标准所属行业，以采购文件中具体规定为准。</w:t>
      </w:r>
      <w:r/>
    </w:p>
    <w:p>
      <w:pPr>
        <w:ind w:firstLine="480"/>
        <w:spacing w:line="360" w:lineRule="auto"/>
        <w:rPr>
          <w:rFonts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eastAsia="宋体" w:cs="宋体"/>
          <w:b/>
          <w:color w:val="auto"/>
          <w:sz w:val="24"/>
          <w:szCs w:val="24"/>
          <w:highlight w:val="none"/>
        </w:rPr>
        <w:t xml:space="preserve">如未在</w:t>
      </w:r>
      <w:r>
        <w:rPr>
          <w:rFonts w:hint="eastAsia" w:eastAsia="宋体" w:cs="宋体"/>
          <w:color w:val="auto"/>
          <w:sz w:val="24"/>
          <w:szCs w:val="24"/>
          <w:highlight w:val="none"/>
        </w:rPr>
        <w:t xml:space="preserve">《中小企业声明函》中填写注明具体企业类型</w:t>
      </w:r>
      <w:r>
        <w:rPr>
          <w:rFonts w:hint="eastAsia" w:eastAsia="宋体" w:cs="宋体"/>
          <w:b/>
          <w:color w:val="auto"/>
          <w:sz w:val="24"/>
          <w:szCs w:val="24"/>
          <w:highlight w:val="none"/>
        </w:rPr>
        <w:t xml:space="preserve">（中型企业、小型企业或微型企业），不视为中小微企业，不享受相应扶持政策</w:t>
      </w:r>
      <w:r>
        <w:rPr>
          <w:rFonts w:hint="eastAsia"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中标（成交）单位</w:t>
      </w:r>
      <w:r>
        <w:rPr>
          <w:rFonts w:hint="eastAsia" w:ascii="宋体" w:hAnsi="宋体" w:eastAsia="宋体"/>
          <w:color w:val="auto"/>
          <w:sz w:val="24"/>
          <w:szCs w:val="24"/>
          <w:highlight w:val="none"/>
        </w:rPr>
        <w:t xml:space="preserve">为中小企业的，《中小企业声明函》将随</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同时公告。</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964"/>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附件3：</w:t>
      </w:r>
      <w:r/>
    </w:p>
    <w:p>
      <w:pPr>
        <w:pStyle w:val="964"/>
        <w:ind w:left="0"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951"/>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附件</w:t>
      </w:r>
      <w:r>
        <w:rPr>
          <w:rFonts w:hint="eastAsia"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数据服务配套设备技术要求</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一、分析方法要求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自动监测仪器的测量原理必须符合中国国家标准分析方法、中国环保行业分析方法或等同的或相近的其他国家的标准分析方法。水质自动监测站监测仪器应使用如下方法。</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自动监测仪器分析方法</w:t>
      </w:r>
      <w:r/>
    </w:p>
    <w:tbl>
      <w:tblPr>
        <w:tblStyle w:val="950"/>
        <w:tblW w:w="4922" w:type="pct"/>
        <w:tblInd w:w="27" w:type="dxa"/>
        <w:tblLayout w:type="autofit"/>
        <w:tblCellMar>
          <w:left w:w="108" w:type="dxa"/>
          <w:top w:w="0" w:type="dxa"/>
          <w:right w:w="108" w:type="dxa"/>
          <w:bottom w:w="0" w:type="dxa"/>
        </w:tblCellMar>
        <w:tblLook w:val="04A0" w:firstRow="1" w:lastRow="0" w:firstColumn="1" w:lastColumn="0" w:noHBand="0" w:noVBand="1"/>
      </w:tblPr>
      <w:tblGrid>
        <w:gridCol w:w="720"/>
        <w:gridCol w:w="2598"/>
        <w:gridCol w:w="5512"/>
      </w:tblGrid>
      <w:tr>
        <w:trPr>
          <w:trHeight w:val="43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39"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参数/功能描述</w:t>
            </w:r>
            <w:r/>
          </w:p>
        </w:tc>
      </w:tr>
      <w:tr>
        <w:trPr>
          <w:trHeight w:val="57"/>
        </w:trPr>
        <w:tc>
          <w:tcPr>
            <w:tcBorders>
              <w:top w:val="non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839"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水温、pH值、溶解氧、电导率、浊度、藻密度、叶绿素a自动分析仪</w:t>
            </w:r>
            <w:r/>
          </w:p>
        </w:tc>
        <w:tc>
          <w:tcPr>
            <w:tcBorders>
              <w:top w:val="none" w:color="000000" w:sz="4" w:space="0"/>
              <w:left w:val="none" w:color="000000" w:sz="4" w:space="0"/>
              <w:bottom w:val="single" w:color="000000" w:sz="4" w:space="0"/>
              <w:right w:val="single" w:color="000000" w:sz="4" w:space="0"/>
            </w:tcBorders>
            <w:tcW w:w="6106"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【水温】测定原理：温度传感器法或铂热电阻感测法；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pH </w:t>
            </w:r>
            <w:r>
              <w:rPr>
                <w:rFonts w:hint="eastAsia" w:eastAsia="宋体"/>
                <w:bCs/>
                <w:color w:val="auto"/>
                <w:sz w:val="21"/>
                <w:szCs w:val="21"/>
                <w:highlight w:val="none"/>
              </w:rPr>
              <w:t xml:space="preserve">值】测定原理：玻璃电极法；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【溶解氧】测定原理：荧光法或电极法；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【电导率】测定原理：电极法；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【浊度】测定原理：光散射法；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【藻密度】测定原理:荧光法；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【叶绿素a】测定原理:荧光法；</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性能达到国家水站质控技术相关要求。</w:t>
            </w:r>
            <w:r/>
          </w:p>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具体见详细技术参数及功能指标要求。</w:t>
            </w:r>
            <w:r/>
          </w:p>
        </w:tc>
      </w:tr>
    </w:tbl>
    <w:p>
      <w:pPr>
        <w:spacing w:line="360" w:lineRule="auto"/>
        <w:rPr>
          <w:rFonts w:eastAsia="宋体"/>
          <w:b/>
          <w:bCs/>
          <w:color w:val="auto"/>
          <w:sz w:val="24"/>
          <w:szCs w:val="24"/>
          <w:highlight w:val="none"/>
        </w:rPr>
      </w:pPr>
      <w:r>
        <w:rPr>
          <w:rFonts w:hint="eastAsia" w:eastAsia="宋体"/>
          <w:b/>
          <w:bCs/>
          <w:color w:val="auto"/>
          <w:sz w:val="24"/>
          <w:szCs w:val="24"/>
          <w:highlight w:val="none"/>
        </w:rPr>
        <w:t xml:space="preserve">二、详细技术指标</w:t>
      </w:r>
      <w:r/>
    </w:p>
    <w:p>
      <w:pPr>
        <w:pStyle w:val="988"/>
        <w:ind w:left="0" w:firstLine="482"/>
        <w:jc w:val="left"/>
        <w:keepLines w:val="0"/>
        <w:keepNext w:val="0"/>
        <w:pageBreakBefore w:val="0"/>
        <w:spacing w:after="0" w:line="360" w:lineRule="auto"/>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自动分析仪设备技术参数</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水温、</w:t>
      </w:r>
      <w:r>
        <w:rPr>
          <w:rFonts w:hint="eastAsia" w:ascii="宋体" w:hAnsi="宋体" w:eastAsia="宋体" w:cs="宋体"/>
          <w:bCs/>
          <w:color w:val="auto"/>
          <w:sz w:val="24"/>
          <w:szCs w:val="24"/>
          <w:highlight w:val="none"/>
        </w:rPr>
        <w:t xml:space="preserve">pH</w:t>
      </w:r>
      <w:r>
        <w:rPr>
          <w:rFonts w:hint="eastAsia" w:ascii="宋体" w:hAnsi="宋体" w:eastAsia="宋体" w:cs="宋体"/>
          <w:color w:val="auto"/>
          <w:sz w:val="24"/>
          <w:szCs w:val="24"/>
          <w:highlight w:val="none"/>
        </w:rPr>
        <w:t xml:space="preserve">值、溶解氧、电导率、浊度、藻密度、叶绿素a均具备0.5小时/次的监测能力。</w:t>
      </w:r>
      <w:r/>
    </w:p>
    <w:p>
      <w:pPr>
        <w:pStyle w:val="988"/>
        <w:numPr>
          <w:ilvl w:val="0"/>
          <w:numId w:val="0"/>
        </w:numPr>
        <w:ind w:firstLine="482"/>
        <w:jc w:val="left"/>
        <w:keepLines w:val="0"/>
        <w:keepNext w:val="0"/>
        <w:pageBreakBefore w:val="0"/>
        <w:spacing w:after="0" w:line="360" w:lineRule="auto"/>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水温自动分析仪</w:t>
      </w:r>
      <w:r/>
    </w:p>
    <w:tbl>
      <w:tblPr>
        <w:tblStyle w:val="950"/>
        <w:tblW w:w="5069" w:type="pct"/>
        <w:jc w:val="center"/>
        <w:tblLayout w:type="autofit"/>
        <w:tblCellMar>
          <w:left w:w="0" w:type="dxa"/>
          <w:top w:w="0" w:type="dxa"/>
          <w:right w:w="0" w:type="dxa"/>
          <w:bottom w:w="0" w:type="dxa"/>
        </w:tblCellMar>
        <w:tblLook w:val="04A0" w:firstRow="1" w:lastRow="0" w:firstColumn="1" w:lastColumn="0" w:noHBand="0" w:noVBand="1"/>
      </w:tblPr>
      <w:tblGrid>
        <w:gridCol w:w="3710"/>
        <w:gridCol w:w="5175"/>
      </w:tblGrid>
      <w:tr>
        <w:trPr>
          <w:jc w:val="center"/>
          <w:trHeight w:val="340" w:hRule="exact"/>
        </w:trPr>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jc w:val="center"/>
              <w:rPr>
                <w:rFonts w:eastAsia="宋体"/>
                <w:b/>
                <w:color w:val="auto"/>
                <w:sz w:val="21"/>
                <w:szCs w:val="21"/>
                <w:highlight w:val="none"/>
              </w:rPr>
              <w:outlineLvl w:val="0"/>
            </w:pPr>
            <w:r>
              <w:rPr>
                <w:rFonts w:eastAsia="宋体"/>
                <w:b/>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jc w:val="center"/>
              <w:rPr>
                <w:rFonts w:eastAsia="宋体"/>
                <w:b/>
                <w:color w:val="auto"/>
                <w:sz w:val="21"/>
                <w:szCs w:val="21"/>
                <w:highlight w:val="none"/>
              </w:rPr>
              <w:outlineLvl w:val="0"/>
            </w:pPr>
            <w:r>
              <w:rPr>
                <w:rFonts w:eastAsia="宋体"/>
                <w:b/>
                <w:color w:val="auto"/>
                <w:sz w:val="21"/>
                <w:szCs w:val="21"/>
                <w:highlight w:val="none"/>
              </w:rPr>
              <w:t xml:space="preserve">技术指标</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jc w:val="center"/>
              <w:rPr>
                <w:rFonts w:eastAsia="宋体"/>
                <w:bCs/>
                <w:color w:val="auto"/>
                <w:sz w:val="21"/>
                <w:szCs w:val="21"/>
                <w:highlight w:val="none"/>
              </w:rPr>
              <w:outlineLvl w:val="0"/>
            </w:pPr>
            <w:r>
              <w:rPr>
                <w:rFonts w:eastAsia="宋体"/>
                <w:color w:val="auto"/>
                <w:sz w:val="21"/>
                <w:szCs w:val="21"/>
                <w:highlight w:val="none"/>
              </w:rPr>
              <w:t xml:space="preserve">温度传感器法或铂热电阻感测法</w:t>
            </w:r>
            <w:r/>
          </w:p>
        </w:tc>
      </w:tr>
      <w:tr>
        <w:trPr>
          <w:jc w:val="center"/>
          <w:trHeight w:val="320"/>
        </w:trPr>
        <w:tc>
          <w:tcPr>
            <w:tcBorders>
              <w:top w:val="single" w:color="auto" w:sz="4" w:space="0"/>
              <w:left w:val="single" w:color="auto" w:sz="4" w:space="0"/>
              <w:bottom w:val="single" w:color="auto" w:sz="4" w:space="0"/>
              <w:right w:val="single" w:color="auto" w:sz="4" w:space="0"/>
            </w:tcBorders>
            <w:tcW w:w="3472" w:type="dxa"/>
            <w:vAlign w:val="center"/>
            <w:textDirection w:val="lrTb"/>
            <w:noWrap w:val="false"/>
          </w:tcPr>
          <w:p>
            <w:pPr>
              <w:jc w:val="center"/>
              <w:rPr>
                <w:rFonts w:eastAsia="宋体"/>
                <w:color w:val="auto"/>
                <w:sz w:val="21"/>
                <w:szCs w:val="21"/>
                <w:highlight w:val="none"/>
              </w:rPr>
              <w:outlineLvl w:val="0"/>
            </w:pPr>
            <w:r>
              <w:rPr>
                <w:rFonts w:hint="eastAsia" w:eastAsia="宋体"/>
                <w:color w:val="auto"/>
                <w:sz w:val="21"/>
                <w:szCs w:val="21"/>
                <w:highlight w:val="none"/>
              </w:rPr>
              <w:t xml:space="preserve">检测范围</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eastAsia="宋体"/>
                <w:color w:val="auto"/>
                <w:sz w:val="21"/>
                <w:szCs w:val="21"/>
                <w:highlight w:val="none"/>
              </w:rPr>
              <w:outlineLvl w:val="0"/>
            </w:pPr>
            <w:r>
              <w:rPr>
                <w:rFonts w:eastAsia="宋体"/>
                <w:color w:val="auto"/>
                <w:sz w:val="21"/>
                <w:szCs w:val="21"/>
                <w:highlight w:val="none"/>
              </w:rPr>
              <w:t xml:space="preserve">0</w:t>
            </w:r>
            <w:r>
              <w:rPr>
                <w:rFonts w:hint="eastAsia" w:eastAsia="宋体"/>
                <w:color w:val="auto"/>
                <w:sz w:val="21"/>
                <w:szCs w:val="21"/>
                <w:highlight w:val="none"/>
              </w:rPr>
              <w:t xml:space="preserve">℃～5</w:t>
            </w:r>
            <w:r>
              <w:rPr>
                <w:rFonts w:eastAsia="宋体"/>
                <w:color w:val="auto"/>
                <w:sz w:val="21"/>
                <w:szCs w:val="21"/>
                <w:highlight w:val="none"/>
              </w:rPr>
              <w:t xml:space="preserve">0 </w:t>
            </w:r>
            <w:r>
              <w:rPr>
                <w:rFonts w:hint="eastAsia" w:eastAsia="宋体"/>
                <w:color w:val="auto"/>
                <w:sz w:val="21"/>
                <w:szCs w:val="21"/>
                <w:highlight w:val="none"/>
              </w:rPr>
              <w:t xml:space="preserve">℃，可调</w:t>
            </w:r>
            <w:r/>
          </w:p>
        </w:tc>
      </w:tr>
      <w:tr>
        <w:trPr>
          <w:jc w:val="center"/>
          <w:trHeight w:val="320"/>
        </w:trPr>
        <w:tc>
          <w:tcPr>
            <w:tcBorders>
              <w:top w:val="single" w:color="auto" w:sz="4" w:space="0"/>
              <w:left w:val="single" w:color="auto" w:sz="4" w:space="0"/>
              <w:bottom w:val="single" w:color="auto" w:sz="4" w:space="0"/>
              <w:right w:val="single" w:color="auto" w:sz="4" w:space="0"/>
            </w:tcBorders>
            <w:tcW w:w="3472" w:type="dxa"/>
            <w:vAlign w:val="center"/>
            <w:textDirection w:val="lrTb"/>
            <w:noWrap w:val="false"/>
          </w:tcPr>
          <w:p>
            <w:pPr>
              <w:jc w:val="center"/>
              <w:rPr>
                <w:rFonts w:eastAsia="宋体"/>
                <w:color w:val="auto"/>
                <w:sz w:val="21"/>
                <w:szCs w:val="21"/>
                <w:highlight w:val="none"/>
              </w:rPr>
              <w:outlineLvl w:val="0"/>
            </w:pPr>
            <w:r>
              <w:rPr>
                <w:rFonts w:hint="eastAsia" w:eastAsia="宋体"/>
                <w:color w:val="auto"/>
                <w:sz w:val="21"/>
                <w:szCs w:val="21"/>
                <w:highlight w:val="none"/>
              </w:rPr>
              <w:t xml:space="preserve">准确度</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eastAsia="宋体"/>
                <w:color w:val="auto"/>
                <w:sz w:val="21"/>
                <w:szCs w:val="21"/>
                <w:highlight w:val="none"/>
              </w:rPr>
              <w:outlineLvl w:val="0"/>
            </w:pPr>
            <w:r>
              <w:rPr>
                <w:rFonts w:eastAsia="Times New Roman"/>
                <w:color w:val="auto"/>
                <w:sz w:val="21"/>
                <w:szCs w:val="21"/>
                <w:highlight w:val="none"/>
              </w:rPr>
              <w:t xml:space="preserve">±0.2</w:t>
            </w:r>
            <w:r>
              <w:rPr>
                <w:rFonts w:hint="eastAsia" w:eastAsia="Times New Roman"/>
                <w:color w:val="auto"/>
                <w:sz w:val="21"/>
                <w:szCs w:val="21"/>
                <w:highlight w:val="none"/>
              </w:rPr>
              <w:t xml:space="preserve">℃</w:t>
            </w:r>
            <w:r/>
          </w:p>
        </w:tc>
      </w:tr>
      <w:tr>
        <w:trPr>
          <w:jc w:val="center"/>
          <w:trHeight w:val="320"/>
        </w:trPr>
        <w:tc>
          <w:tcPr>
            <w:tcBorders>
              <w:top w:val="single" w:color="auto" w:sz="4" w:space="0"/>
              <w:left w:val="single" w:color="auto" w:sz="4" w:space="0"/>
              <w:bottom w:val="single" w:color="auto" w:sz="4" w:space="0"/>
              <w:right w:val="single" w:color="auto" w:sz="4" w:space="0"/>
            </w:tcBorders>
            <w:tcW w:w="3472" w:type="dxa"/>
            <w:vAlign w:val="center"/>
            <w:textDirection w:val="lrTb"/>
            <w:noWrap w:val="false"/>
          </w:tcPr>
          <w:p>
            <w:pPr>
              <w:jc w:val="center"/>
              <w:rPr>
                <w:rFonts w:eastAsia="宋体"/>
                <w:color w:val="auto"/>
                <w:sz w:val="21"/>
                <w:szCs w:val="21"/>
                <w:highlight w:val="none"/>
              </w:rPr>
              <w:outlineLvl w:val="0"/>
            </w:pPr>
            <w:r>
              <w:rPr>
                <w:rFonts w:hint="eastAsia" w:eastAsia="宋体"/>
                <w:color w:val="auto"/>
                <w:sz w:val="21"/>
                <w:szCs w:val="21"/>
                <w:highlight w:val="none"/>
              </w:rPr>
              <w:t xml:space="preserve">响应时间</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eastAsia="宋体"/>
                <w:color w:val="auto"/>
                <w:sz w:val="21"/>
                <w:szCs w:val="21"/>
                <w:highlight w:val="none"/>
              </w:rPr>
              <w:outlineLvl w:val="0"/>
            </w:pPr>
            <w:r>
              <w:rPr>
                <w:rFonts w:hint="eastAsia" w:eastAsia="宋体"/>
                <w:color w:val="auto"/>
                <w:sz w:val="21"/>
                <w:szCs w:val="21"/>
                <w:highlight w:val="none"/>
              </w:rPr>
              <w:t xml:space="preserve">≤</w:t>
            </w:r>
            <w:r>
              <w:rPr>
                <w:rFonts w:eastAsia="宋体"/>
                <w:color w:val="auto"/>
                <w:sz w:val="21"/>
                <w:szCs w:val="21"/>
                <w:highlight w:val="none"/>
              </w:rPr>
              <w:t xml:space="preserve">30s</w:t>
            </w:r>
            <w:r/>
          </w:p>
        </w:tc>
      </w:tr>
      <w:tr>
        <w:trPr>
          <w:jc w:val="center"/>
          <w:trHeight w:val="320"/>
        </w:trPr>
        <w:tc>
          <w:tcPr>
            <w:tcBorders>
              <w:top w:val="single" w:color="auto" w:sz="4" w:space="0"/>
              <w:left w:val="single" w:color="auto" w:sz="4" w:space="0"/>
              <w:bottom w:val="single" w:color="auto" w:sz="4" w:space="0"/>
              <w:right w:val="single" w:color="auto" w:sz="4" w:space="0"/>
            </w:tcBorders>
            <w:tcW w:w="3472" w:type="dxa"/>
            <w:vAlign w:val="center"/>
            <w:textDirection w:val="lrTb"/>
            <w:noWrap w:val="false"/>
          </w:tcPr>
          <w:p>
            <w:pPr>
              <w:jc w:val="center"/>
              <w:rPr>
                <w:rFonts w:eastAsia="宋体"/>
                <w:color w:val="auto"/>
                <w:sz w:val="21"/>
                <w:szCs w:val="21"/>
                <w:highlight w:val="none"/>
              </w:rPr>
              <w:outlineLvl w:val="0"/>
            </w:pPr>
            <w:r>
              <w:rPr>
                <w:rFonts w:eastAsia="宋体"/>
                <w:color w:val="auto"/>
                <w:sz w:val="21"/>
                <w:szCs w:val="21"/>
                <w:highlight w:val="none"/>
              </w:rPr>
              <w:t xml:space="preserve">MTBF(</w:t>
            </w:r>
            <w:r>
              <w:rPr>
                <w:rFonts w:hint="eastAsia" w:eastAsia="宋体"/>
                <w:color w:val="auto"/>
                <w:sz w:val="21"/>
                <w:szCs w:val="21"/>
                <w:highlight w:val="none"/>
              </w:rPr>
              <w:t xml:space="preserve">无故障运行时间</w:t>
            </w:r>
            <w:r>
              <w:rPr>
                <w:rFonts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eastAsia="宋体"/>
                <w:color w:val="auto"/>
                <w:sz w:val="21"/>
                <w:szCs w:val="21"/>
                <w:highlight w:val="none"/>
              </w:rPr>
              <w:outlineLvl w:val="0"/>
            </w:pPr>
            <w:r>
              <w:rPr>
                <w:rFonts w:hint="eastAsia" w:eastAsia="宋体"/>
                <w:color w:val="auto"/>
                <w:sz w:val="21"/>
                <w:szCs w:val="21"/>
                <w:highlight w:val="none"/>
              </w:rPr>
              <w:t xml:space="preserve">≥</w:t>
            </w:r>
            <w:r>
              <w:rPr>
                <w:rFonts w:eastAsia="宋体"/>
                <w:color w:val="auto"/>
                <w:sz w:val="21"/>
                <w:szCs w:val="21"/>
                <w:highlight w:val="none"/>
              </w:rPr>
              <w:t xml:space="preserve">720 h/</w:t>
            </w:r>
            <w:r>
              <w:rPr>
                <w:rFonts w:hint="eastAsia" w:eastAsia="宋体"/>
                <w:color w:val="auto"/>
                <w:sz w:val="21"/>
                <w:szCs w:val="21"/>
                <w:highlight w:val="none"/>
              </w:rPr>
              <w:t xml:space="preserve">次</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（2）pH值自动分析仪</w:t>
      </w:r>
      <w:r/>
    </w:p>
    <w:tbl>
      <w:tblPr>
        <w:tblStyle w:val="950"/>
        <w:tblW w:w="5004" w:type="pct"/>
        <w:tblInd w:w="0" w:type="dxa"/>
        <w:tblLayout w:type="autofit"/>
        <w:tblCellMar>
          <w:left w:w="0" w:type="dxa"/>
          <w:top w:w="0" w:type="dxa"/>
          <w:right w:w="0" w:type="dxa"/>
          <w:bottom w:w="0" w:type="dxa"/>
        </w:tblCellMar>
        <w:tblLook w:val="04A0" w:firstRow="1" w:lastRow="0" w:firstColumn="1" w:lastColumn="0" w:noHBand="0" w:noVBand="1"/>
      </w:tblPr>
      <w:tblGrid>
        <w:gridCol w:w="3664"/>
        <w:gridCol w:w="5107"/>
      </w:tblGrid>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
                <w:color w:val="auto"/>
                <w:sz w:val="21"/>
                <w:szCs w:val="21"/>
                <w:highlight w:val="none"/>
              </w:rPr>
              <w:outlineLvl w:val="0"/>
            </w:pPr>
            <w:r>
              <w:rPr>
                <w:rFonts w:eastAsia="宋体"/>
                <w:b/>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
                <w:color w:val="auto"/>
                <w:sz w:val="21"/>
                <w:szCs w:val="21"/>
                <w:highlight w:val="none"/>
              </w:rPr>
              <w:outlineLvl w:val="0"/>
            </w:pPr>
            <w:r>
              <w:rPr>
                <w:rFonts w:eastAsia="宋体"/>
                <w:b/>
                <w:color w:val="auto"/>
                <w:sz w:val="21"/>
                <w:szCs w:val="21"/>
                <w:highlight w:val="none"/>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玻璃电极法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检测范围</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pH 0</w:t>
            </w:r>
            <w:r>
              <w:rPr>
                <w:rFonts w:hint="eastAsia" w:eastAsia="宋体"/>
                <w:bCs/>
                <w:color w:val="auto"/>
                <w:sz w:val="21"/>
                <w:szCs w:val="21"/>
                <w:highlight w:val="none"/>
              </w:rPr>
              <w:t xml:space="preserve">～</w:t>
            </w:r>
            <w:r>
              <w:rPr>
                <w:rFonts w:eastAsia="宋体"/>
                <w:bCs/>
                <w:color w:val="auto"/>
                <w:sz w:val="21"/>
                <w:szCs w:val="21"/>
                <w:highlight w:val="none"/>
              </w:rPr>
              <w:t xml:space="preserve">14 </w:t>
            </w:r>
            <w:r>
              <w:rPr>
                <w:rFonts w:hint="eastAsia" w:eastAsia="宋体"/>
                <w:bCs/>
                <w:color w:val="auto"/>
                <w:sz w:val="21"/>
                <w:szCs w:val="21"/>
                <w:highlight w:val="none"/>
              </w:rPr>
              <w:t xml:space="preserve">（</w:t>
            </w:r>
            <w:r>
              <w:rPr>
                <w:rFonts w:eastAsia="宋体"/>
                <w:bCs/>
                <w:color w:val="auto"/>
                <w:sz w:val="21"/>
                <w:szCs w:val="21"/>
                <w:highlight w:val="none"/>
              </w:rPr>
              <w:t xml:space="preserve">0</w:t>
            </w:r>
            <w:r>
              <w:rPr>
                <w:rFonts w:hint="eastAsia" w:eastAsia="宋体"/>
                <w:bCs/>
                <w:color w:val="auto"/>
                <w:sz w:val="21"/>
                <w:szCs w:val="21"/>
                <w:highlight w:val="none"/>
              </w:rPr>
              <w:t xml:space="preserve">～</w:t>
            </w:r>
            <w:r>
              <w:rPr>
                <w:rFonts w:eastAsia="宋体"/>
                <w:bCs/>
                <w:color w:val="auto"/>
                <w:sz w:val="21"/>
                <w:szCs w:val="21"/>
                <w:highlight w:val="none"/>
              </w:rPr>
              <w:t xml:space="preserve">40 </w:t>
            </w:r>
            <w:r>
              <w:rPr>
                <w:rFonts w:hint="eastAsia" w:eastAsia="宋体"/>
                <w:bCs/>
                <w:color w:val="auto"/>
                <w:sz w:val="21"/>
                <w:szCs w:val="21"/>
                <w:highlight w:val="none"/>
              </w:rPr>
              <w:t xml:space="preserve">℃），可调</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准确度</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±0.1 pH</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重复性</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±0.1 pH</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漂移（</w:t>
            </w:r>
            <w:r>
              <w:rPr>
                <w:rFonts w:eastAsia="宋体"/>
                <w:bCs/>
                <w:color w:val="auto"/>
                <w:sz w:val="21"/>
                <w:szCs w:val="21"/>
                <w:highlight w:val="none"/>
              </w:rPr>
              <w:t xml:space="preserve">pH=4</w:t>
            </w:r>
            <w:r>
              <w:rPr>
                <w:rFonts w:hint="eastAsia" w:eastAsia="宋体"/>
                <w:bCs/>
                <w:color w:val="auto"/>
                <w:sz w:val="21"/>
                <w:szCs w:val="21"/>
                <w:highlight w:val="none"/>
              </w:rPr>
              <w:t xml:space="preserve">、</w:t>
            </w:r>
            <w:r>
              <w:rPr>
                <w:rFonts w:eastAsia="宋体"/>
                <w:bCs/>
                <w:color w:val="auto"/>
                <w:sz w:val="21"/>
                <w:szCs w:val="21"/>
                <w:highlight w:val="none"/>
              </w:rPr>
              <w:t xml:space="preserve">7</w:t>
            </w:r>
            <w:r>
              <w:rPr>
                <w:rFonts w:hint="eastAsia" w:eastAsia="宋体"/>
                <w:bCs/>
                <w:color w:val="auto"/>
                <w:sz w:val="21"/>
                <w:szCs w:val="21"/>
                <w:highlight w:val="none"/>
              </w:rPr>
              <w:t xml:space="preserve">、</w:t>
            </w:r>
            <w:r>
              <w:rPr>
                <w:rFonts w:eastAsia="宋体"/>
                <w:bCs/>
                <w:color w:val="auto"/>
                <w:sz w:val="21"/>
                <w:szCs w:val="21"/>
                <w:highlight w:val="none"/>
              </w:rPr>
              <w:t xml:space="preserve">9</w:t>
            </w:r>
            <w:r>
              <w:rPr>
                <w:rFonts w:hint="eastAsia" w:eastAsia="宋体"/>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±0.1 pH</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响应时间</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30s</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温度补偿精度</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±0.1 pH</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MTBF(</w:t>
            </w:r>
            <w:r>
              <w:rPr>
                <w:rFonts w:hint="eastAsia" w:eastAsia="宋体"/>
                <w:bCs/>
                <w:color w:val="auto"/>
                <w:sz w:val="21"/>
                <w:szCs w:val="21"/>
                <w:highlight w:val="none"/>
              </w:rPr>
              <w:t xml:space="preserve">无故障运行时间</w:t>
            </w:r>
            <w:r>
              <w:rPr>
                <w:rFonts w:eastAsia="宋体"/>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720h/</w:t>
            </w:r>
            <w:r>
              <w:rPr>
                <w:rFonts w:hint="eastAsia" w:eastAsia="宋体"/>
                <w:bCs/>
                <w:color w:val="auto"/>
                <w:sz w:val="21"/>
                <w:szCs w:val="21"/>
                <w:highlight w:val="none"/>
              </w:rPr>
              <w:t xml:space="preserve">次</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实际水样比对试验</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±0.1 pH</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防护等级</w:t>
            </w:r>
            <w:r/>
          </w:p>
        </w:tc>
        <w:tc>
          <w:tcPr>
            <w:tcBorders>
              <w:top w:val="single" w:color="000000" w:sz="4" w:space="0"/>
              <w:left w:val="single" w:color="000000" w:sz="4" w:space="0"/>
              <w:bottom w:val="single" w:color="000000" w:sz="4" w:space="0"/>
              <w:right w:val="single" w:color="000000" w:sz="4" w:space="0"/>
            </w:tcBorders>
            <w:tcW w:w="4841"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IP65</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（3）溶解氧水质自动分析仪</w:t>
      </w:r>
      <w:r/>
    </w:p>
    <w:tbl>
      <w:tblPr>
        <w:tblStyle w:val="950"/>
        <w:tblW w:w="5016" w:type="pct"/>
        <w:tblInd w:w="0" w:type="dxa"/>
        <w:tblLayout w:type="autofit"/>
        <w:tblCellMar>
          <w:left w:w="0" w:type="dxa"/>
          <w:top w:w="0" w:type="dxa"/>
          <w:right w:w="0" w:type="dxa"/>
          <w:bottom w:w="0" w:type="dxa"/>
        </w:tblCellMar>
        <w:tblLook w:val="04A0" w:firstRow="1" w:lastRow="0" w:firstColumn="1" w:lastColumn="0" w:noHBand="0" w:noVBand="1"/>
      </w:tblPr>
      <w:tblGrid>
        <w:gridCol w:w="3666"/>
        <w:gridCol w:w="5126"/>
      </w:tblGrid>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
                <w:color w:val="auto"/>
                <w:sz w:val="21"/>
                <w:szCs w:val="21"/>
                <w:highlight w:val="none"/>
              </w:rPr>
              <w:outlineLvl w:val="0"/>
            </w:pPr>
            <w:r>
              <w:rPr>
                <w:rFonts w:eastAsia="宋体"/>
                <w:b/>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
                <w:color w:val="auto"/>
                <w:sz w:val="21"/>
                <w:szCs w:val="21"/>
                <w:highlight w:val="none"/>
              </w:rPr>
              <w:outlineLvl w:val="0"/>
            </w:pPr>
            <w:r>
              <w:rPr>
                <w:rFonts w:eastAsia="宋体"/>
                <w:b/>
                <w:color w:val="auto"/>
                <w:sz w:val="21"/>
                <w:szCs w:val="21"/>
                <w:highlight w:val="none"/>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荧光法或电极法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检测范围</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w:t>
            </w:r>
            <w:r>
              <w:rPr>
                <w:rFonts w:hint="eastAsia" w:eastAsia="宋体"/>
                <w:bCs/>
                <w:color w:val="auto"/>
                <w:sz w:val="21"/>
                <w:szCs w:val="21"/>
                <w:highlight w:val="none"/>
              </w:rPr>
              <w:t xml:space="preserve">～</w:t>
            </w:r>
            <w:r>
              <w:rPr>
                <w:rFonts w:eastAsia="宋体"/>
                <w:bCs/>
                <w:color w:val="auto"/>
                <w:sz w:val="21"/>
                <w:szCs w:val="21"/>
                <w:highlight w:val="none"/>
              </w:rPr>
              <w:t xml:space="preserve">20 mg/L</w:t>
            </w:r>
            <w:r>
              <w:rPr>
                <w:rFonts w:hint="eastAsia" w:eastAsia="宋体"/>
                <w:bCs/>
                <w:color w:val="auto"/>
                <w:sz w:val="21"/>
                <w:szCs w:val="21"/>
                <w:highlight w:val="none"/>
              </w:rPr>
              <w:t xml:space="preserve">，可调</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准确度</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±0.3 mg/L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零点漂移</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±0.3 mg/L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量程漂移</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±0.3 mg/L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重复性</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±0.3 mg/L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响应时间（</w:t>
            </w:r>
            <w:r>
              <w:rPr>
                <w:rFonts w:eastAsia="宋体"/>
                <w:bCs/>
                <w:color w:val="auto"/>
                <w:sz w:val="21"/>
                <w:szCs w:val="21"/>
                <w:highlight w:val="none"/>
              </w:rPr>
              <w:t xml:space="preserve">T90</w:t>
            </w:r>
            <w:r>
              <w:rPr>
                <w:rFonts w:hint="eastAsia" w:eastAsia="宋体"/>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60 s</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温度补偿精度</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±0.3 mg/L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MTBF(</w:t>
            </w:r>
            <w:r>
              <w:rPr>
                <w:rFonts w:hint="eastAsia" w:eastAsia="宋体"/>
                <w:bCs/>
                <w:color w:val="auto"/>
                <w:sz w:val="21"/>
                <w:szCs w:val="21"/>
                <w:highlight w:val="none"/>
              </w:rPr>
              <w:t xml:space="preserve">无故障运行时间</w:t>
            </w:r>
            <w:r>
              <w:rPr>
                <w:rFonts w:eastAsia="宋体"/>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720 h/</w:t>
            </w:r>
            <w:r>
              <w:rPr>
                <w:rFonts w:hint="eastAsia" w:eastAsia="宋体"/>
                <w:bCs/>
                <w:color w:val="auto"/>
                <w:sz w:val="21"/>
                <w:szCs w:val="21"/>
                <w:highlight w:val="none"/>
              </w:rPr>
              <w:t xml:space="preserve">次</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实际水样比对试验</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eastAsia="宋体"/>
                <w:bCs/>
                <w:color w:val="auto"/>
                <w:sz w:val="21"/>
                <w:szCs w:val="21"/>
                <w:highlight w:val="none"/>
              </w:rPr>
              <w:t xml:space="preserve">±0.3 mg/L</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防护等级</w:t>
            </w:r>
            <w:r/>
          </w:p>
        </w:tc>
        <w:tc>
          <w:tcPr>
            <w:tcBorders>
              <w:top w:val="single" w:color="000000" w:sz="4" w:space="0"/>
              <w:left w:val="single" w:color="000000" w:sz="4" w:space="0"/>
              <w:bottom w:val="single" w:color="000000" w:sz="4" w:space="0"/>
              <w:right w:val="single" w:color="000000" w:sz="4" w:space="0"/>
            </w:tcBorders>
            <w:tcW w:w="4858" w:type="dxa"/>
            <w:vAlign w:val="center"/>
            <w:textDirection w:val="lrTb"/>
            <w:noWrap w:val="false"/>
          </w:tcPr>
          <w:p>
            <w:pPr>
              <w:jc w:val="center"/>
              <w:rPr>
                <w:rFonts w:eastAsia="宋体"/>
                <w:bCs/>
                <w:color w:val="auto"/>
                <w:sz w:val="21"/>
                <w:szCs w:val="21"/>
                <w:highlight w:val="none"/>
              </w:rPr>
              <w:outlineLvl w:val="0"/>
            </w:pPr>
            <w:r>
              <w:rPr>
                <w:rFonts w:hint="eastAsia" w:eastAsia="宋体"/>
                <w:bCs/>
                <w:color w:val="auto"/>
                <w:sz w:val="21"/>
                <w:szCs w:val="21"/>
                <w:highlight w:val="none"/>
              </w:rPr>
              <w:t xml:space="preserve">≥</w:t>
            </w:r>
            <w:r>
              <w:rPr>
                <w:rFonts w:eastAsia="宋体"/>
                <w:bCs/>
                <w:color w:val="auto"/>
                <w:sz w:val="21"/>
                <w:szCs w:val="21"/>
                <w:highlight w:val="none"/>
              </w:rPr>
              <w:t xml:space="preserve">IP65</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（4）电导率水质自动分析仪</w:t>
      </w:r>
      <w:r/>
    </w:p>
    <w:tbl>
      <w:tblPr>
        <w:tblStyle w:val="950"/>
        <w:tblW w:w="5004" w:type="pct"/>
        <w:tblInd w:w="0" w:type="dxa"/>
        <w:tblLayout w:type="autofit"/>
        <w:tblCellMar>
          <w:left w:w="0" w:type="dxa"/>
          <w:top w:w="0" w:type="dxa"/>
          <w:right w:w="0" w:type="dxa"/>
          <w:bottom w:w="0" w:type="dxa"/>
        </w:tblCellMar>
        <w:tblLook w:val="04A0" w:firstRow="1" w:lastRow="0" w:firstColumn="1" w:lastColumn="0" w:noHBand="0" w:noVBand="1"/>
      </w:tblPr>
      <w:tblGrid>
        <w:gridCol w:w="3659"/>
        <w:gridCol w:w="5112"/>
      </w:tblGrid>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left="4"/>
              <w:jc w:val="center"/>
              <w:rPr>
                <w:rFonts w:ascii="Times New Roman" w:hAnsi="Times New Roman" w:eastAsia="宋体"/>
                <w:color w:val="auto"/>
                <w:sz w:val="21"/>
                <w:szCs w:val="21"/>
                <w:highlight w:val="none"/>
              </w:rPr>
            </w:pPr>
            <w:r>
              <w:rPr>
                <w:rFonts w:ascii="Times New Roman" w:hAnsi="Times New Roman" w:eastAsia="宋体"/>
                <w:b/>
                <w:bCs/>
                <w:color w:val="auto"/>
                <w:sz w:val="21"/>
                <w:szCs w:val="21"/>
                <w:highlight w:val="none"/>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电极法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最小检测范围</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0</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500 mS/m</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0</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40</w:t>
            </w:r>
            <w:r>
              <w:rPr>
                <w:rFonts w:hint="eastAsia" w:ascii="Times New Roman" w:hAnsi="Times New Roman" w:eastAsia="宋体"/>
                <w:color w:val="auto"/>
                <w:sz w:val="21"/>
                <w:szCs w:val="21"/>
                <w:highlight w:val="none"/>
              </w:rPr>
              <w:t xml:space="preserve">℃），可调</w:t>
            </w:r>
            <w:r/>
          </w:p>
        </w:tc>
      </w:tr>
      <w:tr>
        <w:trPr>
          <w:trHeight w:val="340" w:hRule="exact"/>
        </w:trPr>
        <w:tc>
          <w:tcPr>
            <w:tcBorders>
              <w:top w:val="single" w:color="000000" w:sz="4" w:space="0"/>
              <w:left w:val="single" w:color="000000" w:sz="4" w:space="0"/>
              <w:bottom w:val="single" w:color="auto"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准确度</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r>
      <w:tr>
        <w:trPr>
          <w:trHeight w:val="340" w:hRule="exact"/>
        </w:trPr>
        <w:tc>
          <w:tcPr>
            <w:tcBorders>
              <w:top w:val="single" w:color="auto" w:sz="4" w:space="0"/>
              <w:left w:val="single" w:color="auto" w:sz="4" w:space="0"/>
              <w:bottom w:val="single" w:color="auto" w:sz="4" w:space="0"/>
              <w:right w:val="single" w:color="auto"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重复性</w:t>
            </w:r>
            <w:r/>
          </w:p>
        </w:tc>
        <w:tc>
          <w:tcPr>
            <w:tcBorders>
              <w:top w:val="single" w:color="000000" w:sz="4" w:space="0"/>
              <w:left w:val="single" w:color="auto" w:sz="4" w:space="0"/>
              <w:bottom w:val="single" w:color="000000" w:sz="4" w:space="0"/>
              <w:right w:val="single" w:color="000000" w:sz="4" w:space="0"/>
            </w:tcBorders>
            <w:tcW w:w="4846" w:type="dxa"/>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r>
      <w:tr>
        <w:trPr>
          <w:trHeight w:val="340" w:hRule="exact"/>
        </w:trPr>
        <w:tc>
          <w:tcPr>
            <w:tcBorders>
              <w:top w:val="single" w:color="auto" w:sz="4" w:space="0"/>
              <w:left w:val="single" w:color="auto" w:sz="4" w:space="0"/>
              <w:bottom w:val="single" w:color="auto" w:sz="4" w:space="0"/>
              <w:right w:val="single" w:color="auto"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零点漂移</w:t>
            </w:r>
            <w:r/>
          </w:p>
        </w:tc>
        <w:tc>
          <w:tcPr>
            <w:tcBorders>
              <w:top w:val="single" w:color="000000" w:sz="4" w:space="0"/>
              <w:left w:val="single" w:color="auto" w:sz="4" w:space="0"/>
              <w:bottom w:val="single" w:color="000000" w:sz="4" w:space="0"/>
              <w:right w:val="single" w:color="000000" w:sz="4" w:space="0"/>
            </w:tcBorders>
            <w:tcW w:w="4846" w:type="dxa"/>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r>
      <w:tr>
        <w:trPr>
          <w:trHeight w:val="340" w:hRule="exact"/>
        </w:trPr>
        <w:tc>
          <w:tcPr>
            <w:tcBorders>
              <w:top w:val="single" w:color="auto" w:sz="4" w:space="0"/>
              <w:left w:val="single" w:color="auto" w:sz="4" w:space="0"/>
              <w:bottom w:val="single" w:color="auto" w:sz="4" w:space="0"/>
              <w:right w:val="single" w:color="auto"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量程漂移</w:t>
            </w:r>
            <w:r/>
          </w:p>
        </w:tc>
        <w:tc>
          <w:tcPr>
            <w:tcBorders>
              <w:top w:val="single" w:color="000000" w:sz="4" w:space="0"/>
              <w:left w:val="single" w:color="auto"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r>
      <w:tr>
        <w:trPr>
          <w:trHeight w:val="340" w:hRule="exact"/>
        </w:trPr>
        <w:tc>
          <w:tcPr>
            <w:tcBorders>
              <w:top w:val="single" w:color="auto" w:sz="4" w:space="0"/>
              <w:left w:val="single" w:color="auto" w:sz="4" w:space="0"/>
              <w:bottom w:val="single" w:color="auto" w:sz="4" w:space="0"/>
              <w:right w:val="single" w:color="auto"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响应时间（</w:t>
            </w:r>
            <w:r>
              <w:rPr>
                <w:rFonts w:ascii="Times New Roman" w:hAnsi="Times New Roman" w:eastAsia="宋体"/>
                <w:color w:val="auto"/>
                <w:sz w:val="21"/>
                <w:szCs w:val="21"/>
                <w:highlight w:val="none"/>
              </w:rPr>
              <w:t xml:space="preserve">T90</w:t>
            </w:r>
            <w:r>
              <w:rPr>
                <w:rFonts w:hint="eastAsia" w:ascii="Times New Roman" w:hAnsi="Times New Roman" w:eastAsia="宋体"/>
                <w:color w:val="auto"/>
                <w:sz w:val="21"/>
                <w:szCs w:val="21"/>
                <w:highlight w:val="none"/>
              </w:rPr>
              <w:t xml:space="preserve">）</w:t>
            </w:r>
            <w:r/>
          </w:p>
        </w:tc>
        <w:tc>
          <w:tcPr>
            <w:tcBorders>
              <w:top w:val="single" w:color="000000" w:sz="4" w:space="0"/>
              <w:left w:val="single" w:color="auto"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30s</w:t>
            </w:r>
            <w:r/>
          </w:p>
        </w:tc>
      </w:tr>
      <w:tr>
        <w:trPr>
          <w:trHeight w:val="340" w:hRule="exact"/>
        </w:trPr>
        <w:tc>
          <w:tcPr>
            <w:tcBorders>
              <w:top w:val="single" w:color="auto"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温度补偿精度</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MTBF(</w:t>
            </w:r>
            <w:r>
              <w:rPr>
                <w:rFonts w:hint="eastAsia" w:ascii="Times New Roman" w:hAnsi="Times New Roman" w:eastAsia="宋体"/>
                <w:color w:val="auto"/>
                <w:sz w:val="21"/>
                <w:szCs w:val="21"/>
                <w:highlight w:val="none"/>
              </w:rPr>
              <w:t xml:space="preserve">无故障运行时间</w:t>
            </w:r>
            <w:r>
              <w:rPr>
                <w:rFonts w:ascii="Times New Roman" w:hAnsi="Times New Roman" w:eastAsia="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720h/</w:t>
            </w:r>
            <w:r>
              <w:rPr>
                <w:rFonts w:hint="eastAsia" w:ascii="Times New Roman" w:hAnsi="Times New Roman" w:eastAsia="宋体"/>
                <w:color w:val="auto"/>
                <w:sz w:val="21"/>
                <w:szCs w:val="21"/>
                <w:highlight w:val="none"/>
              </w:rPr>
              <w:t xml:space="preserve">次</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实际水样比对</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防护等级</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≥IP65</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（5）浊度水质自动分析仪</w:t>
      </w:r>
      <w:r/>
    </w:p>
    <w:tbl>
      <w:tblPr>
        <w:tblStyle w:val="950"/>
        <w:tblW w:w="5004" w:type="pct"/>
        <w:tblInd w:w="0" w:type="dxa"/>
        <w:tblLayout w:type="autofit"/>
        <w:tblCellMar>
          <w:left w:w="0" w:type="dxa"/>
          <w:top w:w="0" w:type="dxa"/>
          <w:right w:w="0" w:type="dxa"/>
          <w:bottom w:w="0" w:type="dxa"/>
        </w:tblCellMar>
        <w:tblLook w:val="04A0" w:firstRow="1" w:lastRow="0" w:firstColumn="1" w:lastColumn="0" w:noHBand="0" w:noVBand="1"/>
      </w:tblPr>
      <w:tblGrid>
        <w:gridCol w:w="3659"/>
        <w:gridCol w:w="5112"/>
      </w:tblGrid>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ind w:left="4"/>
              <w:jc w:val="center"/>
              <w:rPr>
                <w:rFonts w:ascii="Times New Roman" w:hAnsi="Times New Roman" w:eastAsia="宋体"/>
                <w:color w:val="auto"/>
                <w:sz w:val="21"/>
                <w:szCs w:val="21"/>
                <w:highlight w:val="none"/>
              </w:rPr>
            </w:pPr>
            <w:r>
              <w:rPr>
                <w:rFonts w:ascii="Times New Roman" w:hAnsi="Times New Roman" w:eastAsia="宋体"/>
                <w:b/>
                <w:bCs/>
                <w:color w:val="auto"/>
                <w:sz w:val="21"/>
                <w:szCs w:val="21"/>
                <w:highlight w:val="none"/>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89"/>
              <w:ind w:right="1"/>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4846" w:type="dxa"/>
            <w:vAlign w:val="center"/>
            <w:textDirection w:val="lrTb"/>
            <w:noWrap w:val="false"/>
          </w:tcPr>
          <w:p>
            <w:pPr>
              <w:pStyle w:val="989"/>
              <w:jc w:val="cente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光散射法</w:t>
            </w:r>
            <w:r/>
          </w:p>
        </w:tc>
      </w:tr>
      <w:tr>
        <w:trPr>
          <w:trHeight w:val="340" w:hRule="exact"/>
        </w:trPr>
        <w:tc>
          <w:tcPr>
            <w:tcBorders>
              <w:top w:val="single" w:color="000000"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检测范围</w:t>
            </w:r>
            <w:r/>
          </w:p>
        </w:tc>
        <w:tc>
          <w:tcPr>
            <w:tcBorders>
              <w:top w:val="single" w:color="000000"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w:t>
            </w:r>
            <w:r>
              <w:rPr>
                <w:rFonts w:hint="eastAsia" w:eastAsia="宋体"/>
                <w:color w:val="auto"/>
                <w:sz w:val="21"/>
                <w:szCs w:val="21"/>
                <w:highlight w:val="none"/>
              </w:rPr>
              <w:t xml:space="preserve">～</w:t>
            </w:r>
            <w:r>
              <w:rPr>
                <w:rFonts w:eastAsia="宋体"/>
                <w:color w:val="auto"/>
                <w:sz w:val="21"/>
                <w:szCs w:val="21"/>
                <w:highlight w:val="none"/>
              </w:rPr>
              <w:t xml:space="preserve">1000NTU</w:t>
            </w:r>
            <w:r>
              <w:rPr>
                <w:rFonts w:hint="eastAsia" w:eastAsia="宋体"/>
                <w:color w:val="auto"/>
                <w:sz w:val="21"/>
                <w:szCs w:val="21"/>
                <w:highlight w:val="none"/>
              </w:rPr>
              <w:t xml:space="preserve">，可调</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准确度</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±5%</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重复性</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±5%</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零点漂移</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±3%</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量程漂移</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±5%</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线性误差</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±5%</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MTBF(无故障运行时间)</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≥720h/次</w:t>
            </w:r>
            <w:r/>
          </w:p>
        </w:tc>
      </w:tr>
      <w:tr>
        <w:trPr>
          <w:trHeight w:val="340" w:hRule="exact"/>
        </w:trPr>
        <w:tc>
          <w:tcPr>
            <w:tcBorders>
              <w:top w:val="single" w:color="auto" w:sz="4" w:space="0"/>
              <w:left w:val="single" w:color="000000" w:sz="4" w:space="0"/>
              <w:bottom w:val="single" w:color="auto"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实际水样比对试验</w:t>
            </w:r>
            <w:r/>
          </w:p>
        </w:tc>
        <w:tc>
          <w:tcPr>
            <w:tcBorders>
              <w:top w:val="single" w:color="auto" w:sz="4" w:space="0"/>
              <w:left w:val="single" w:color="auto" w:sz="4" w:space="0"/>
              <w:bottom w:val="single" w:color="auto"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±10%(或±10 NTU)</w:t>
            </w:r>
            <w:r/>
          </w:p>
        </w:tc>
      </w:tr>
      <w:tr>
        <w:trPr>
          <w:trHeight w:val="340" w:hRule="exact"/>
        </w:trPr>
        <w:tc>
          <w:tcPr>
            <w:tcBorders>
              <w:top w:val="single" w:color="auto" w:sz="4" w:space="0"/>
              <w:left w:val="single" w:color="000000" w:sz="4" w:space="0"/>
              <w:bottom w:val="single" w:color="000000" w:sz="4" w:space="0"/>
              <w:right w:val="single" w:color="auto" w:sz="4" w:space="0"/>
            </w:tcBorders>
            <w:tcW w:w="346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防护等级</w:t>
            </w:r>
            <w:r/>
          </w:p>
        </w:tc>
        <w:tc>
          <w:tcPr>
            <w:tcBorders>
              <w:top w:val="single" w:color="auto" w:sz="4" w:space="0"/>
              <w:left w:val="single" w:color="auto" w:sz="4" w:space="0"/>
              <w:bottom w:val="single" w:color="000000" w:sz="4" w:space="0"/>
              <w:right w:val="single" w:color="000000" w:sz="4" w:space="0"/>
            </w:tcBorders>
            <w:tcW w:w="4846" w:type="dxa"/>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≥IP65</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（6）藻密度自动分析仪</w:t>
      </w:r>
      <w:r/>
    </w:p>
    <w:tbl>
      <w:tblPr>
        <w:tblStyle w:val="950"/>
        <w:tblW w:w="5008" w:type="pct"/>
        <w:tblInd w:w="0" w:type="dxa"/>
        <w:tblLayout w:type="autofit"/>
        <w:tblCellMar>
          <w:left w:w="0" w:type="dxa"/>
          <w:top w:w="0" w:type="dxa"/>
          <w:right w:w="0" w:type="dxa"/>
          <w:bottom w:w="0" w:type="dxa"/>
        </w:tblCellMar>
        <w:tblLook w:val="04A0" w:firstRow="1" w:lastRow="0" w:firstColumn="1" w:lastColumn="0" w:noHBand="0" w:noVBand="1"/>
      </w:tblPr>
      <w:tblGrid>
        <w:gridCol w:w="3686"/>
        <w:gridCol w:w="5092"/>
      </w:tblGrid>
      <w:tr>
        <w:trPr>
          <w:trHeight w:val="340" w:hRule="exact"/>
          <w:tblHeader/>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pStyle w:val="989"/>
              <w:ind w:left="484"/>
              <w:jc w:val="center"/>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荧光法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测量范围</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0～200,000 cells/mL，可扩展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准确度</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±10%</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重复性</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检出限</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≤200 cells/mL</w:t>
            </w:r>
            <w:r/>
          </w:p>
        </w:tc>
      </w:tr>
      <w:tr>
        <w:trPr>
          <w:trHeight w:val="405"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MTBF(无故障运行时间)</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≥720h/次</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4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传感器功能</w:t>
            </w:r>
            <w:r/>
          </w:p>
        </w:tc>
        <w:tc>
          <w:tcPr>
            <w:tcBorders>
              <w:top w:val="single" w:color="000000" w:sz="4" w:space="0"/>
              <w:left w:val="single" w:color="000000" w:sz="4" w:space="0"/>
              <w:bottom w:val="single" w:color="000000" w:sz="4" w:space="0"/>
              <w:right w:val="single" w:color="000000" w:sz="4" w:space="0"/>
            </w:tcBorders>
            <w:tcW w:w="5612"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转刷自动清洗，自动温度补偿</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（7）叶绿素a水质自动分析仪</w:t>
      </w:r>
      <w:r/>
    </w:p>
    <w:tbl>
      <w:tblPr>
        <w:tblStyle w:val="950"/>
        <w:tblW w:w="5016" w:type="pct"/>
        <w:tblInd w:w="0" w:type="dxa"/>
        <w:tblLayout w:type="autofit"/>
        <w:tblCellMar>
          <w:left w:w="0" w:type="dxa"/>
          <w:top w:w="0" w:type="dxa"/>
          <w:right w:w="0" w:type="dxa"/>
          <w:bottom w:w="0" w:type="dxa"/>
        </w:tblCellMar>
        <w:tblLook w:val="04A0" w:firstRow="1" w:lastRow="0" w:firstColumn="1" w:lastColumn="0" w:noHBand="0" w:noVBand="1"/>
      </w:tblPr>
      <w:tblGrid>
        <w:gridCol w:w="3731"/>
        <w:gridCol w:w="5061"/>
      </w:tblGrid>
      <w:tr>
        <w:trPr>
          <w:trHeight w:val="340" w:hRule="exact"/>
        </w:trPr>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rPr>
                <w:rFonts w:eastAsia="宋体"/>
                <w:b/>
                <w:bCs/>
                <w:color w:val="auto"/>
                <w:sz w:val="21"/>
                <w:szCs w:val="21"/>
                <w:highlight w:val="none"/>
              </w:rPr>
            </w:pPr>
            <w:r>
              <w:rPr>
                <w:rFonts w:hint="eastAsia" w:eastAsia="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5594" w:type="dxa"/>
            <w:vAlign w:val="center"/>
            <w:textDirection w:val="lrTb"/>
            <w:noWrap w:val="false"/>
          </w:tcPr>
          <w:p>
            <w:pPr>
              <w:pStyle w:val="989"/>
              <w:ind w:left="2"/>
              <w:jc w:val="center"/>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 xml:space="preserve">技术指标</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测定原理</w:t>
            </w:r>
            <w:r/>
          </w:p>
        </w:tc>
        <w:tc>
          <w:tcPr>
            <w:tcBorders>
              <w:top w:val="single" w:color="000000" w:sz="4" w:space="0"/>
              <w:left w:val="single" w:color="000000" w:sz="4" w:space="0"/>
              <w:bottom w:val="single" w:color="000000" w:sz="4" w:space="0"/>
              <w:right w:val="single" w:color="000000"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荧光法</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测量范围</w:t>
            </w:r>
            <w:r/>
          </w:p>
        </w:tc>
        <w:tc>
          <w:tcPr>
            <w:tcBorders>
              <w:top w:val="single" w:color="000000" w:sz="4" w:space="0"/>
              <w:left w:val="single" w:color="000000" w:sz="4" w:space="0"/>
              <w:bottom w:val="single" w:color="000000" w:sz="4" w:space="0"/>
              <w:right w:val="single" w:color="000000"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0~500μg/L，可扩展</w:t>
            </w:r>
            <w:r/>
          </w:p>
        </w:tc>
      </w:tr>
      <w:tr>
        <w:trPr>
          <w:trHeight w:val="340" w:hRule="exact"/>
        </w:trPr>
        <w:tc>
          <w:tcPr>
            <w:tcBorders>
              <w:top w:val="single" w:color="000000" w:sz="4" w:space="0"/>
              <w:left w:val="single" w:color="000000" w:sz="4" w:space="0"/>
              <w:bottom w:val="single" w:color="auto" w:sz="4" w:space="0"/>
              <w:right w:val="single" w:color="000000"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准确度</w:t>
            </w:r>
            <w:r/>
          </w:p>
        </w:tc>
        <w:tc>
          <w:tcPr>
            <w:tcBorders>
              <w:top w:val="single" w:color="000000" w:sz="4" w:space="0"/>
              <w:left w:val="single" w:color="000000" w:sz="4" w:space="0"/>
              <w:bottom w:val="single" w:color="auto" w:sz="4" w:space="0"/>
              <w:right w:val="single" w:color="000000"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±10%</w:t>
            </w:r>
            <w:r/>
          </w:p>
        </w:tc>
      </w:tr>
      <w:tr>
        <w:trPr>
          <w:trHeight w:val="340" w:hRule="exact"/>
        </w:trPr>
        <w:tc>
          <w:tcPr>
            <w:tcBorders>
              <w:top w:val="single" w:color="auto" w:sz="4" w:space="0"/>
              <w:left w:val="single" w:color="auto" w:sz="4" w:space="0"/>
              <w:bottom w:val="single" w:color="auto" w:sz="4" w:space="0"/>
              <w:right w:val="single" w:color="auto"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重复性</w:t>
            </w:r>
            <w:r/>
          </w:p>
        </w:tc>
        <w:tc>
          <w:tcPr>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w:t>
            </w:r>
            <w:r/>
          </w:p>
        </w:tc>
      </w:tr>
      <w:tr>
        <w:trPr>
          <w:trHeight w:val="340" w:hRule="exact"/>
        </w:trPr>
        <w:tc>
          <w:tcPr>
            <w:tcBorders>
              <w:top w:val="single" w:color="auto" w:sz="4" w:space="0"/>
              <w:left w:val="single" w:color="auto" w:sz="4" w:space="0"/>
              <w:bottom w:val="single" w:color="auto" w:sz="4" w:space="0"/>
              <w:right w:val="single" w:color="auto"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检出限</w:t>
            </w:r>
            <w:r/>
          </w:p>
        </w:tc>
        <w:tc>
          <w:tcPr>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≤0.1μg/L</w:t>
            </w:r>
            <w:r/>
          </w:p>
        </w:tc>
      </w:tr>
      <w:tr>
        <w:trPr>
          <w:trHeight w:val="340" w:hRule="exact"/>
        </w:trPr>
        <w:tc>
          <w:tcPr>
            <w:tcBorders>
              <w:top w:val="single" w:color="auto" w:sz="4" w:space="0"/>
              <w:left w:val="single" w:color="auto" w:sz="4" w:space="0"/>
              <w:bottom w:val="single" w:color="auto" w:sz="4" w:space="0"/>
              <w:right w:val="single" w:color="auto"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MTBF(无故障运行时间)</w:t>
            </w:r>
            <w:r/>
          </w:p>
        </w:tc>
        <w:tc>
          <w:tcPr>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≥720h/次</w:t>
            </w:r>
            <w:r/>
          </w:p>
        </w:tc>
      </w:tr>
      <w:tr>
        <w:trPr>
          <w:trHeight w:val="340"/>
        </w:trPr>
        <w:tc>
          <w:tcPr>
            <w:tcBorders>
              <w:top w:val="single" w:color="auto" w:sz="4" w:space="0"/>
              <w:left w:val="single" w:color="auto" w:sz="4" w:space="0"/>
              <w:bottom w:val="single" w:color="auto" w:sz="4" w:space="0"/>
              <w:right w:val="single" w:color="auto" w:sz="4" w:space="0"/>
            </w:tcBorders>
            <w:tcW w:w="4075"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传感器功能</w:t>
            </w:r>
            <w:r/>
          </w:p>
        </w:tc>
        <w:tc>
          <w:tcPr>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pStyle w:val="989"/>
              <w:ind w:left="2"/>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转刷自动清洗，自动温度补偿</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（8）气象水质自动分析仪</w:t>
      </w:r>
      <w:r/>
    </w:p>
    <w:tbl>
      <w:tblPr>
        <w:tblStyle w:val="950"/>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2635"/>
        <w:gridCol w:w="1656"/>
        <w:gridCol w:w="3030"/>
      </w:tblGrid>
      <w:tr>
        <w:trPr>
          <w:jc w:val="center"/>
        </w:trPr>
        <w:tc>
          <w:tcPr>
            <w:tcW w:w="922" w:type="pct"/>
            <w:vAlign w:val="center"/>
            <w:textDirection w:val="lrTb"/>
            <w:noWrap w:val="false"/>
          </w:tcPr>
          <w:p>
            <w:pPr>
              <w:jc w:val="center"/>
              <w:rPr>
                <w:rFonts w:eastAsia="宋体"/>
                <w:b/>
                <w:bCs/>
                <w:color w:val="auto"/>
                <w:sz w:val="21"/>
                <w:szCs w:val="21"/>
                <w:highlight w:val="none"/>
              </w:rPr>
            </w:pPr>
            <w:r>
              <w:rPr>
                <w:rFonts w:eastAsia="宋体"/>
                <w:b/>
                <w:bCs/>
                <w:color w:val="auto"/>
                <w:sz w:val="21"/>
                <w:szCs w:val="21"/>
                <w:highlight w:val="none"/>
              </w:rPr>
              <w:t xml:space="preserve">气象要素</w:t>
            </w:r>
            <w:r/>
          </w:p>
        </w:tc>
        <w:tc>
          <w:tcPr>
            <w:tcW w:w="1467" w:type="pct"/>
            <w:vAlign w:val="center"/>
            <w:textDirection w:val="lrTb"/>
            <w:noWrap w:val="false"/>
          </w:tcPr>
          <w:p>
            <w:pPr>
              <w:jc w:val="center"/>
              <w:rPr>
                <w:rFonts w:eastAsia="宋体"/>
                <w:b/>
                <w:bCs/>
                <w:color w:val="auto"/>
                <w:sz w:val="21"/>
                <w:szCs w:val="21"/>
                <w:highlight w:val="none"/>
              </w:rPr>
            </w:pPr>
            <w:r>
              <w:rPr>
                <w:rFonts w:eastAsia="宋体"/>
                <w:b/>
                <w:bCs/>
                <w:color w:val="auto"/>
                <w:sz w:val="21"/>
                <w:szCs w:val="21"/>
                <w:highlight w:val="none"/>
              </w:rPr>
              <w:t xml:space="preserve">测量范围</w:t>
            </w:r>
            <w:r/>
          </w:p>
        </w:tc>
        <w:tc>
          <w:tcPr>
            <w:tcW w:w="922" w:type="pct"/>
            <w:vAlign w:val="center"/>
            <w:textDirection w:val="lrTb"/>
            <w:noWrap w:val="false"/>
          </w:tcPr>
          <w:p>
            <w:pPr>
              <w:jc w:val="center"/>
              <w:rPr>
                <w:rFonts w:eastAsia="宋体"/>
                <w:b/>
                <w:bCs/>
                <w:color w:val="auto"/>
                <w:sz w:val="21"/>
                <w:szCs w:val="21"/>
                <w:highlight w:val="none"/>
              </w:rPr>
            </w:pPr>
            <w:r>
              <w:rPr>
                <w:rFonts w:eastAsia="宋体"/>
                <w:b/>
                <w:bCs/>
                <w:color w:val="auto"/>
                <w:sz w:val="21"/>
                <w:szCs w:val="21"/>
                <w:highlight w:val="none"/>
              </w:rPr>
              <w:t xml:space="preserve">分辨率</w:t>
            </w:r>
            <w:r/>
          </w:p>
        </w:tc>
        <w:tc>
          <w:tcPr>
            <w:tcW w:w="1687" w:type="pct"/>
            <w:vAlign w:val="center"/>
            <w:textDirection w:val="lrTb"/>
            <w:noWrap w:val="false"/>
          </w:tcPr>
          <w:p>
            <w:pPr>
              <w:jc w:val="center"/>
              <w:rPr>
                <w:rFonts w:eastAsia="宋体"/>
                <w:b/>
                <w:bCs/>
                <w:color w:val="auto"/>
                <w:sz w:val="21"/>
                <w:szCs w:val="21"/>
                <w:highlight w:val="none"/>
              </w:rPr>
            </w:pPr>
            <w:r>
              <w:rPr>
                <w:rFonts w:eastAsia="宋体"/>
                <w:b/>
                <w:bCs/>
                <w:color w:val="auto"/>
                <w:sz w:val="21"/>
                <w:szCs w:val="21"/>
                <w:highlight w:val="none"/>
              </w:rPr>
              <w:t xml:space="preserve">准确度</w:t>
            </w:r>
            <w:r/>
          </w:p>
        </w:tc>
      </w:tr>
      <w:tr>
        <w:trPr>
          <w:jc w:val="center"/>
        </w:trPr>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风速</w:t>
            </w:r>
            <w:r/>
          </w:p>
        </w:tc>
        <w:tc>
          <w:tcPr>
            <w:tcW w:w="1467"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w:t>
            </w:r>
            <w:r>
              <w:rPr>
                <w:rFonts w:hint="eastAsia" w:eastAsia="宋体"/>
                <w:color w:val="auto"/>
                <w:sz w:val="21"/>
                <w:szCs w:val="21"/>
                <w:highlight w:val="none"/>
              </w:rPr>
              <w:t xml:space="preserve">5</w:t>
            </w:r>
            <w:r>
              <w:rPr>
                <w:rFonts w:eastAsia="宋体"/>
                <w:color w:val="auto"/>
                <w:sz w:val="21"/>
                <w:szCs w:val="21"/>
                <w:highlight w:val="none"/>
              </w:rPr>
              <w:t xml:space="preserve">0m/s</w:t>
            </w:r>
            <w:r/>
          </w:p>
        </w:tc>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0.1m/s</w:t>
            </w:r>
            <w:r/>
          </w:p>
        </w:tc>
        <w:tc>
          <w:tcPr>
            <w:tcW w:w="1687" w:type="pct"/>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低风速（0～5m/s）：0.5m/s读数基础上≤10%；高风速（5～40m/s）：≤1m/s或者5%，以高者为准。</w:t>
            </w:r>
            <w:r/>
          </w:p>
        </w:tc>
      </w:tr>
      <w:tr>
        <w:trPr>
          <w:jc w:val="center"/>
        </w:trPr>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风向</w:t>
            </w:r>
            <w:r/>
          </w:p>
        </w:tc>
        <w:tc>
          <w:tcPr>
            <w:tcW w:w="1467"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0-360º（无死角）</w:t>
            </w:r>
            <w:r/>
          </w:p>
        </w:tc>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0.1 º</w:t>
            </w:r>
            <w:r/>
          </w:p>
        </w:tc>
        <w:tc>
          <w:tcPr>
            <w:tcW w:w="1687"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w:t>
            </w:r>
            <w:r>
              <w:rPr>
                <w:rFonts w:hint="eastAsia" w:eastAsia="宋体"/>
                <w:color w:val="auto"/>
                <w:sz w:val="21"/>
                <w:szCs w:val="21"/>
                <w:highlight w:val="none"/>
              </w:rPr>
              <w:t xml:space="preserve">5</w:t>
            </w:r>
            <w:r>
              <w:rPr>
                <w:rFonts w:eastAsia="宋体"/>
                <w:color w:val="auto"/>
                <w:sz w:val="21"/>
                <w:szCs w:val="21"/>
                <w:highlight w:val="none"/>
              </w:rPr>
              <w:t xml:space="preserve"> º</w:t>
            </w:r>
            <w:r/>
          </w:p>
        </w:tc>
      </w:tr>
      <w:tr>
        <w:trPr>
          <w:jc w:val="center"/>
        </w:trPr>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气温</w:t>
            </w:r>
            <w:r/>
          </w:p>
        </w:tc>
        <w:tc>
          <w:tcPr>
            <w:tcW w:w="1467" w:type="pct"/>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-25～55℃</w:t>
            </w:r>
            <w:r/>
          </w:p>
        </w:tc>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0.1℃</w:t>
            </w:r>
            <w:r/>
          </w:p>
        </w:tc>
        <w:tc>
          <w:tcPr>
            <w:tcW w:w="1687"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±0.3℃</w:t>
            </w:r>
            <w:r/>
          </w:p>
        </w:tc>
      </w:tr>
      <w:tr>
        <w:trPr>
          <w:jc w:val="center"/>
        </w:trPr>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气压</w:t>
            </w:r>
            <w:r/>
          </w:p>
        </w:tc>
        <w:tc>
          <w:tcPr>
            <w:tcW w:w="1467" w:type="pct"/>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8</w:t>
            </w:r>
            <w:r>
              <w:rPr>
                <w:rFonts w:eastAsia="宋体"/>
                <w:color w:val="auto"/>
                <w:sz w:val="21"/>
                <w:szCs w:val="21"/>
                <w:highlight w:val="none"/>
              </w:rPr>
              <w:t xml:space="preserve">00~1100hPa</w:t>
            </w:r>
            <w:r/>
          </w:p>
        </w:tc>
        <w:tc>
          <w:tcPr>
            <w:tcW w:w="922"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0.1hPa</w:t>
            </w:r>
            <w:r/>
          </w:p>
        </w:tc>
        <w:tc>
          <w:tcPr>
            <w:tcW w:w="1687" w:type="pct"/>
            <w:vAlign w:val="center"/>
            <w:textDirection w:val="lrTb"/>
            <w:noWrap w:val="false"/>
          </w:tcPr>
          <w:p>
            <w:pPr>
              <w:jc w:val="center"/>
              <w:rPr>
                <w:rFonts w:eastAsia="宋体"/>
                <w:color w:val="auto"/>
                <w:sz w:val="21"/>
                <w:szCs w:val="21"/>
                <w:highlight w:val="none"/>
              </w:rPr>
            </w:pPr>
            <w:r>
              <w:rPr>
                <w:rFonts w:eastAsia="宋体"/>
                <w:color w:val="auto"/>
                <w:sz w:val="21"/>
                <w:szCs w:val="21"/>
                <w:highlight w:val="none"/>
              </w:rPr>
              <w:t xml:space="preserve">±</w:t>
            </w:r>
            <w:r>
              <w:rPr>
                <w:rFonts w:hint="eastAsia" w:eastAsia="宋体"/>
                <w:color w:val="auto"/>
                <w:sz w:val="21"/>
                <w:szCs w:val="21"/>
                <w:highlight w:val="none"/>
              </w:rPr>
              <w:t xml:space="preserve">5</w:t>
            </w:r>
            <w:r>
              <w:rPr>
                <w:rFonts w:eastAsia="宋体"/>
                <w:color w:val="auto"/>
                <w:sz w:val="21"/>
                <w:szCs w:val="21"/>
                <w:highlight w:val="none"/>
              </w:rPr>
              <w:t xml:space="preserve">hPa</w:t>
            </w:r>
            <w:r/>
          </w:p>
        </w:tc>
      </w:tr>
    </w:tbl>
    <w:p>
      <w:pPr>
        <w:pStyle w:val="988"/>
        <w:numPr>
          <w:ilvl w:val="0"/>
          <w:numId w:val="0"/>
        </w:numPr>
        <w:ind w:firstLine="482"/>
        <w:jc w:val="left"/>
        <w:keepLines w:val="0"/>
        <w:keepNext w:val="0"/>
        <w:pageBreakBefore w:val="0"/>
        <w:spacing w:after="0"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（9）视频监控系统</w:t>
      </w:r>
      <w:r/>
    </w:p>
    <w:tbl>
      <w:tblPr>
        <w:tblStyle w:val="950"/>
        <w:tblW w:w="97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7670"/>
      </w:tblGrid>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摄像机类型</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球型摄像机</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电源</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太阳能供电，保证7天阴雨天正常工作</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视频清晰度</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1080P；30倍变焦</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旋转范围</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水平0~360°，上下-15~90°</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负载电压</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9-12.6V;</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防护要求</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防水防尘</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报警功能</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移动侦测报警</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数据传输</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优先采用5G，可全天在线察看</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远程控制</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可支持手机远程控制，上下左右自由旋转，随时随地通过手机、电脑等查看视频；</w:t>
            </w:r>
            <w:r/>
          </w:p>
        </w:tc>
      </w:tr>
      <w:tr>
        <w:trPr>
          <w:trHeight w:val="340"/>
        </w:trPr>
        <w:tc>
          <w:tcPr>
            <w:tcW w:w="2122"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数据存储</w:t>
            </w:r>
            <w:r/>
          </w:p>
        </w:tc>
        <w:tc>
          <w:tcPr>
            <w:tcW w:w="7670" w:type="dxa"/>
            <w:vAlign w:val="center"/>
            <w:textDirection w:val="lrTb"/>
            <w:noWrap w:val="false"/>
          </w:tcPr>
          <w:p>
            <w:pPr>
              <w:pStyle w:val="989"/>
              <w:ind w:left="484"/>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内置存储卡或外接存储设备，存储空间不小于30天的储存量，监控视频自动循环录像</w:t>
            </w:r>
            <w:r/>
          </w:p>
        </w:tc>
      </w:tr>
    </w:tbl>
    <w:p>
      <w:pPr>
        <w:pStyle w:val="988"/>
        <w:ind w:left="0" w:firstLine="482"/>
        <w:jc w:val="left"/>
        <w:keepLines w:val="0"/>
        <w:keepNext w:val="0"/>
        <w:pageBreakBefore w:val="0"/>
        <w:spacing w:after="0" w:line="360" w:lineRule="auto"/>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功能要求</w:t>
      </w:r>
      <w:r/>
    </w:p>
    <w:p>
      <w:pPr>
        <w:pStyle w:val="988"/>
        <w:ind w:left="0" w:firstLine="482"/>
        <w:jc w:val="left"/>
        <w:keepLines w:val="0"/>
        <w:keepNext w:val="0"/>
        <w:pageBreakBefore w:val="0"/>
        <w:spacing w:after="0" w:line="360" w:lineRule="auto"/>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2.1浮标站要求</w:t>
      </w:r>
      <w:r/>
    </w:p>
    <w:p>
      <w:pPr>
        <w:pStyle w:val="988"/>
        <w:ind w:left="0" w:firstLine="480"/>
        <w:jc w:val="left"/>
        <w:keepLines w:val="0"/>
        <w:keepNext w:val="0"/>
        <w:pageBreakBefore w:val="0"/>
        <w:spacing w:after="0" w:line="360"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不限制标体类型，可以采用浮标或浮船形式，具体要求如下：</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（1）采用坚固浮体，具有耐腐蚀、防撞等功能，保障仪器设备安全稳定运行。</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（2）供电方式：太阳能自发电，太阳能板需具备抗风浪、耐碰撞和刮擦、耐腐蚀、使用寿命长。保障阴雨天气情况下，浮标监测系统连续正常运行10天以上。</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（3）自带定位系统，需采用国产定位系统，定位精度＜25米，实时定位监测，漂移报警。</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（4）航标警示灯：能见度大于5km，有效提醒过往船只，避免碰撞。航标灯、雷达反射器符合国家航道标志协会要求。</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（5）仪器通信接口：具有RS-232或RS-485标准通讯接口</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（6）套筒材质采用不锈钢、铜合金等耐腐蚀、防撞材质，且可拆卸，便于清洗，防止微生物附着影响监测结果。</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（7）仪器防护等级：IP68。</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（8）系统和供电单元设置防雷设施，包含标体、电源、信号三级电源防雷和通讯防雷，并符合防雷规范的要求。</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（9）辅助单元：有配套的固定及回收系统，并可根据水下不同情况选择不同形式的锚和不同抛锚方式。</w:t>
      </w:r>
      <w:r/>
    </w:p>
    <w:p>
      <w:pPr>
        <w:pStyle w:val="988"/>
        <w:ind w:left="0" w:firstLine="482"/>
        <w:jc w:val="left"/>
        <w:keepLines w:val="0"/>
        <w:keepNext w:val="0"/>
        <w:pageBreakBefore w:val="0"/>
        <w:spacing w:after="0" w:line="360" w:lineRule="auto"/>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2.2数据采集与传输要求</w:t>
      </w:r>
      <w:r/>
    </w:p>
    <w:p>
      <w:pPr>
        <w:ind w:left="0" w:firstLine="482"/>
        <w:jc w:val="left"/>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数据采集</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（1）具备自动采集数据功能，包括自动采集水质自动分析仪器数据、集成控制数据、视频信息等；</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（2）具备对不同类型数据添加标识功能，自动识别异常监测数据；</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（3）具有监测数据查询功能、数据分类功能，存储不少于1年的原始数据和运行日志。</w:t>
      </w:r>
      <w:r/>
    </w:p>
    <w:p>
      <w:pPr>
        <w:ind w:left="0" w:firstLine="482"/>
        <w:jc w:val="left"/>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数据传输</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（1）优先采用5G传输模块，以便视频信号快速传输；传输软件：具备一址多传、断点自动续传功能；</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（2）具有双向数据传输功能和工作状态输出功能；</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（3）支持《国家地表水监测仪器通信协议技术要求》（总站水字〔2019〕649号）。</w:t>
      </w:r>
      <w:r/>
    </w:p>
    <w:p>
      <w:pPr>
        <w:pStyle w:val="988"/>
        <w:ind w:left="0" w:firstLine="482"/>
        <w:jc w:val="left"/>
        <w:keepLines w:val="0"/>
        <w:keepNext w:val="0"/>
        <w:pageBreakBefore w:val="0"/>
        <w:spacing w:after="0" w:line="360" w:lineRule="auto"/>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2.3控制单元功能要求</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（1）具备断电保护功能，能够在断电时保存系统参数和历史数据，在来电时自动恢复系统；</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（2）具备异常信息记录、上传功能，如部件故障、超量程报警、超标报警、位置偏移报警等信息；</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（3）具有监测数据查询、导出、自动备份功能，可分类查询水质周期数据、质控数据及其对应的仪器、系统日志流程信息</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（4）系统具有良好的扩展性和兼容性，根据水质实际情况，可灵活增加新的监测参数，达到水站扩项监测功能；</w:t>
      </w:r>
      <w:r/>
    </w:p>
    <w:p>
      <w:pPr>
        <w:ind w:lef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（5）能够兼容视频监控设备并能实现对视频设备进行校时、重新启动、参数设置、软件升级、远程维护等。</w:t>
      </w:r>
      <w:r/>
    </w:p>
    <w:p>
      <w:pPr>
        <w:ind w:left="0" w:firstLine="480"/>
        <w:jc w:val="left"/>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（6）具备参数设置功能，能够对小数位、单位、仪器测定上下限、报警（超标）上下限等参数进行设置。</w:t>
      </w:r>
      <w:r/>
    </w:p>
    <w:p>
      <w:pPr>
        <w:pStyle w:val="951"/>
        <w:ind w:left="0" w:firstLine="0"/>
        <w:rPr>
          <w:rFonts w:hint="eastAsia"/>
        </w:rPr>
      </w:pPr>
      <w:r>
        <w:rPr>
          <w:rFonts w:hint="eastAsia"/>
        </w:rPr>
      </w:r>
      <w:r/>
    </w:p>
    <w:p>
      <w:pPr>
        <w:pStyle w:val="964"/>
        <w:jc w:val="right"/>
        <w:rPr>
          <w:color w:val="auto"/>
          <w:highlight w:val="none"/>
        </w:rPr>
      </w:pPr>
      <w:r>
        <w:rPr>
          <w:rFonts w:hint="eastAsia" w:ascii="宋体" w:hAnsi="宋体" w:cs="宋体"/>
          <w:bCs/>
          <w:color w:val="auto"/>
          <w:sz w:val="24"/>
          <w:szCs w:val="24"/>
          <w:highlight w:val="none"/>
        </w:rPr>
        <w:t xml:space="preserve">（全文完）</w:t>
      </w:r>
      <w:r/>
    </w:p>
    <w:p>
      <w:pPr>
        <w:pStyle w:val="964"/>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4"/>
        <w:rPr>
          <w:color w:val="auto"/>
          <w:highlight w:val="none"/>
        </w:rPr>
      </w:pPr>
      <w:r>
        <w:rPr>
          <w:color w:val="auto"/>
          <w:highlight w:val="none"/>
        </w:rPr>
      </w:r>
      <w:r/>
    </w:p>
    <w:sectPr>
      <w:footerReference w:type="default" r:id="rId14"/>
      <w:footnotePr/>
      <w:endnotePr/>
      <w:type w:val="nextPage"/>
      <w:pgSz w:w="11906" w:h="16838" w:orient="portrait"/>
      <w:pgMar w:top="1440" w:right="1576" w:bottom="1440" w:left="157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魏碑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黑体">
    <w:panose1 w:val="02010609060101010101"/>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3"/>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3"/>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keepLines w:val="0"/>
        <w:keepNext w:val="0"/>
        <w:pageBreakBefore w:val="0"/>
        <w:widowControl w:val="off"/>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JSZC-320500-SZCH-C2026-0001</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49"/>
    <w:link w:val="947"/>
    <w:uiPriority w:val="9"/>
    <w:rPr>
      <w:rFonts w:ascii="Arial" w:hAnsi="Arial" w:eastAsia="Arial" w:cs="Arial"/>
      <w:sz w:val="40"/>
      <w:szCs w:val="40"/>
    </w:rPr>
  </w:style>
  <w:style w:type="character" w:styleId="777">
    <w:name w:val="Heading 2 Char"/>
    <w:basedOn w:val="949"/>
    <w:link w:val="948"/>
    <w:uiPriority w:val="9"/>
    <w:rPr>
      <w:rFonts w:ascii="Arial" w:hAnsi="Arial" w:eastAsia="Arial" w:cs="Arial"/>
      <w:sz w:val="34"/>
    </w:rPr>
  </w:style>
  <w:style w:type="paragraph" w:styleId="778">
    <w:name w:val="Heading 3"/>
    <w:basedOn w:val="946"/>
    <w:next w:val="946"/>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basedOn w:val="949"/>
    <w:link w:val="778"/>
    <w:uiPriority w:val="9"/>
    <w:rPr>
      <w:rFonts w:ascii="Arial" w:hAnsi="Arial" w:eastAsia="Arial" w:cs="Arial"/>
      <w:sz w:val="30"/>
      <w:szCs w:val="30"/>
    </w:rPr>
  </w:style>
  <w:style w:type="paragraph" w:styleId="780">
    <w:name w:val="Heading 4"/>
    <w:basedOn w:val="946"/>
    <w:next w:val="946"/>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basedOn w:val="949"/>
    <w:link w:val="780"/>
    <w:uiPriority w:val="9"/>
    <w:rPr>
      <w:rFonts w:ascii="Arial" w:hAnsi="Arial" w:eastAsia="Arial" w:cs="Arial"/>
      <w:b/>
      <w:bCs/>
      <w:sz w:val="26"/>
      <w:szCs w:val="26"/>
    </w:rPr>
  </w:style>
  <w:style w:type="paragraph" w:styleId="782">
    <w:name w:val="Heading 5"/>
    <w:basedOn w:val="946"/>
    <w:next w:val="946"/>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basedOn w:val="949"/>
    <w:link w:val="782"/>
    <w:uiPriority w:val="9"/>
    <w:rPr>
      <w:rFonts w:ascii="Arial" w:hAnsi="Arial" w:eastAsia="Arial" w:cs="Arial"/>
      <w:b/>
      <w:bCs/>
      <w:sz w:val="24"/>
      <w:szCs w:val="24"/>
    </w:rPr>
  </w:style>
  <w:style w:type="paragraph" w:styleId="784">
    <w:name w:val="Heading 6"/>
    <w:basedOn w:val="946"/>
    <w:next w:val="946"/>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basedOn w:val="949"/>
    <w:link w:val="784"/>
    <w:uiPriority w:val="9"/>
    <w:rPr>
      <w:rFonts w:ascii="Arial" w:hAnsi="Arial" w:eastAsia="Arial" w:cs="Arial"/>
      <w:b/>
      <w:bCs/>
      <w:sz w:val="22"/>
      <w:szCs w:val="22"/>
    </w:rPr>
  </w:style>
  <w:style w:type="paragraph" w:styleId="786">
    <w:name w:val="Heading 7"/>
    <w:basedOn w:val="946"/>
    <w:next w:val="946"/>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49"/>
    <w:link w:val="786"/>
    <w:uiPriority w:val="9"/>
    <w:rPr>
      <w:rFonts w:ascii="Arial" w:hAnsi="Arial" w:eastAsia="Arial" w:cs="Arial"/>
      <w:b/>
      <w:bCs/>
      <w:i/>
      <w:iCs/>
      <w:sz w:val="22"/>
      <w:szCs w:val="22"/>
    </w:rPr>
  </w:style>
  <w:style w:type="paragraph" w:styleId="788">
    <w:name w:val="Heading 8"/>
    <w:basedOn w:val="946"/>
    <w:next w:val="946"/>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49"/>
    <w:link w:val="788"/>
    <w:uiPriority w:val="9"/>
    <w:rPr>
      <w:rFonts w:ascii="Arial" w:hAnsi="Arial" w:eastAsia="Arial" w:cs="Arial"/>
      <w:i/>
      <w:iCs/>
      <w:sz w:val="22"/>
      <w:szCs w:val="22"/>
    </w:rPr>
  </w:style>
  <w:style w:type="paragraph" w:styleId="790">
    <w:name w:val="Heading 9"/>
    <w:basedOn w:val="946"/>
    <w:next w:val="946"/>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49"/>
    <w:link w:val="790"/>
    <w:uiPriority w:val="9"/>
    <w:rPr>
      <w:rFonts w:ascii="Arial" w:hAnsi="Arial" w:eastAsia="Arial" w:cs="Arial"/>
      <w:i/>
      <w:iCs/>
      <w:sz w:val="21"/>
      <w:szCs w:val="21"/>
    </w:rPr>
  </w:style>
  <w:style w:type="paragraph" w:styleId="792">
    <w:name w:val="List Paragraph"/>
    <w:basedOn w:val="946"/>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46"/>
    <w:next w:val="946"/>
    <w:link w:val="795"/>
    <w:uiPriority w:val="10"/>
    <w:qFormat/>
    <w:pPr>
      <w:contextualSpacing/>
      <w:spacing w:before="300" w:after="200"/>
    </w:pPr>
    <w:rPr>
      <w:sz w:val="48"/>
      <w:szCs w:val="48"/>
    </w:rPr>
  </w:style>
  <w:style w:type="character" w:styleId="795">
    <w:name w:val="Title Char"/>
    <w:basedOn w:val="949"/>
    <w:link w:val="794"/>
    <w:uiPriority w:val="10"/>
    <w:rPr>
      <w:sz w:val="48"/>
      <w:szCs w:val="48"/>
    </w:rPr>
  </w:style>
  <w:style w:type="paragraph" w:styleId="796">
    <w:name w:val="Subtitle"/>
    <w:basedOn w:val="946"/>
    <w:next w:val="946"/>
    <w:link w:val="797"/>
    <w:uiPriority w:val="11"/>
    <w:qFormat/>
    <w:pPr>
      <w:spacing w:before="200" w:after="200"/>
    </w:pPr>
    <w:rPr>
      <w:sz w:val="24"/>
      <w:szCs w:val="24"/>
    </w:rPr>
  </w:style>
  <w:style w:type="character" w:styleId="797">
    <w:name w:val="Subtitle Char"/>
    <w:basedOn w:val="949"/>
    <w:link w:val="796"/>
    <w:uiPriority w:val="11"/>
    <w:rPr>
      <w:sz w:val="24"/>
      <w:szCs w:val="24"/>
    </w:rPr>
  </w:style>
  <w:style w:type="paragraph" w:styleId="798">
    <w:name w:val="Quote"/>
    <w:basedOn w:val="946"/>
    <w:next w:val="946"/>
    <w:link w:val="799"/>
    <w:uiPriority w:val="29"/>
    <w:qFormat/>
    <w:pPr>
      <w:ind w:left="720" w:right="720"/>
    </w:pPr>
    <w:rPr>
      <w:i/>
    </w:rPr>
  </w:style>
  <w:style w:type="character" w:styleId="799">
    <w:name w:val="Quote Char"/>
    <w:link w:val="798"/>
    <w:uiPriority w:val="29"/>
    <w:rPr>
      <w:i/>
    </w:rPr>
  </w:style>
  <w:style w:type="paragraph" w:styleId="800">
    <w:name w:val="Intense Quote"/>
    <w:basedOn w:val="946"/>
    <w:next w:val="946"/>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character" w:styleId="802">
    <w:name w:val="Header Char"/>
    <w:basedOn w:val="949"/>
    <w:link w:val="961"/>
    <w:uiPriority w:val="99"/>
  </w:style>
  <w:style w:type="character" w:styleId="803">
    <w:name w:val="Footer Char"/>
    <w:basedOn w:val="949"/>
    <w:link w:val="960"/>
    <w:uiPriority w:val="99"/>
  </w:style>
  <w:style w:type="paragraph" w:styleId="804">
    <w:name w:val="Caption"/>
    <w:basedOn w:val="946"/>
    <w:next w:val="946"/>
    <w:uiPriority w:val="35"/>
    <w:semiHidden/>
    <w:unhideWhenUsed/>
    <w:qFormat/>
    <w:pPr>
      <w:spacing w:line="276" w:lineRule="auto"/>
    </w:pPr>
    <w:rPr>
      <w:b/>
      <w:bCs/>
      <w:color w:val="4f81bd" w:themeColor="accent1"/>
      <w:sz w:val="18"/>
      <w:szCs w:val="18"/>
    </w:rPr>
  </w:style>
  <w:style w:type="character" w:styleId="805">
    <w:name w:val="Caption Char"/>
    <w:basedOn w:val="804"/>
    <w:link w:val="960"/>
    <w:uiPriority w:val="99"/>
  </w:style>
  <w:style w:type="table" w:styleId="806">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2">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3">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4">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5">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6">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7">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4">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7">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8">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9">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0">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1">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2">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4">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5">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6">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7">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8">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9">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8">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9">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0">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1">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2">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3">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5">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6">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7">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8">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9">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0">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2">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3">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4">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5">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6">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7">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9">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0">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1">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2">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3">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4">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1">
    <w:name w:val="footnote text"/>
    <w:basedOn w:val="946"/>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basedOn w:val="949"/>
    <w:uiPriority w:val="99"/>
    <w:unhideWhenUsed/>
    <w:rPr>
      <w:vertAlign w:val="superscript"/>
    </w:rPr>
  </w:style>
  <w:style w:type="paragraph" w:styleId="934">
    <w:name w:val="endnote text"/>
    <w:basedOn w:val="946"/>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49"/>
    <w:uiPriority w:val="99"/>
    <w:semiHidden/>
    <w:unhideWhenUsed/>
    <w:rPr>
      <w:vertAlign w:val="superscript"/>
    </w:rPr>
  </w:style>
  <w:style w:type="paragraph" w:styleId="937">
    <w:name w:val="toc 2"/>
    <w:basedOn w:val="946"/>
    <w:next w:val="946"/>
    <w:uiPriority w:val="39"/>
    <w:unhideWhenUsed/>
    <w:pPr>
      <w:ind w:left="283" w:right="0" w:firstLine="0"/>
      <w:spacing w:after="57"/>
    </w:pPr>
  </w:style>
  <w:style w:type="paragraph" w:styleId="938">
    <w:name w:val="toc 3"/>
    <w:basedOn w:val="946"/>
    <w:next w:val="946"/>
    <w:uiPriority w:val="39"/>
    <w:unhideWhenUsed/>
    <w:pPr>
      <w:ind w:left="567" w:right="0" w:firstLine="0"/>
      <w:spacing w:after="57"/>
    </w:pPr>
  </w:style>
  <w:style w:type="paragraph" w:styleId="939">
    <w:name w:val="toc 4"/>
    <w:basedOn w:val="946"/>
    <w:next w:val="946"/>
    <w:uiPriority w:val="39"/>
    <w:unhideWhenUsed/>
    <w:pPr>
      <w:ind w:left="850" w:right="0" w:firstLine="0"/>
      <w:spacing w:after="57"/>
    </w:pPr>
  </w:style>
  <w:style w:type="paragraph" w:styleId="940">
    <w:name w:val="toc 5"/>
    <w:basedOn w:val="946"/>
    <w:next w:val="946"/>
    <w:uiPriority w:val="39"/>
    <w:unhideWhenUsed/>
    <w:pPr>
      <w:ind w:left="1134" w:right="0" w:firstLine="0"/>
      <w:spacing w:after="57"/>
    </w:pPr>
  </w:style>
  <w:style w:type="paragraph" w:styleId="941">
    <w:name w:val="toc 6"/>
    <w:basedOn w:val="946"/>
    <w:next w:val="946"/>
    <w:uiPriority w:val="39"/>
    <w:unhideWhenUsed/>
    <w:pPr>
      <w:ind w:left="1417"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1"/>
    <w:uiPriority w:val="0"/>
    <w:qFormat/>
    <w:pPr>
      <w:jc w:val="both"/>
      <w:widowControl w:val="off"/>
    </w:pPr>
    <w:rPr>
      <w:rFonts w:ascii="Times New Roman" w:hAnsi="Times New Roman" w:eastAsia="楷体_GB2312" w:cs="Times New Roman"/>
      <w:sz w:val="26"/>
      <w:lang w:val="en-US" w:eastAsia="zh-CN" w:bidi="ar-SA"/>
    </w:rPr>
  </w:style>
  <w:style w:type="paragraph" w:styleId="947">
    <w:name w:val="Heading 1"/>
    <w:basedOn w:val="946"/>
    <w:next w:val="946"/>
    <w:uiPriority w:val="0"/>
    <w:qFormat/>
    <w:pPr>
      <w:keepLines/>
      <w:keepNext/>
      <w:spacing w:before="340" w:after="330" w:line="578" w:lineRule="auto"/>
      <w:outlineLvl w:val="0"/>
    </w:pPr>
    <w:rPr>
      <w:b/>
      <w:sz w:val="44"/>
    </w:rPr>
  </w:style>
  <w:style w:type="paragraph" w:styleId="948">
    <w:name w:val="Heading 2"/>
    <w:basedOn w:val="946"/>
    <w:next w:val="946"/>
    <w:uiPriority w:val="9"/>
    <w:qFormat/>
    <w:pPr>
      <w:keepLines/>
      <w:keepNext/>
      <w:spacing w:before="360" w:after="200"/>
      <w:outlineLvl w:val="1"/>
    </w:pPr>
    <w:rPr>
      <w:rFonts w:ascii="Arial" w:hAnsi="Arial" w:eastAsia="Arial" w:cs="Arial"/>
      <w:sz w:val="34"/>
    </w:rPr>
  </w:style>
  <w:style w:type="character" w:styleId="949" w:default="1">
    <w:name w:val="Default Paragraph Font"/>
    <w:uiPriority w:val="1"/>
    <w:semiHidden/>
    <w:unhideWhenUsed/>
    <w:qFormat/>
  </w:style>
  <w:style w:type="table" w:styleId="950" w:default="1">
    <w:name w:val="Normal Table"/>
    <w:uiPriority w:val="99"/>
    <w:semiHidden/>
    <w:unhideWhenUsed/>
    <w:qFormat/>
    <w:tblPr>
      <w:tblCellMar>
        <w:left w:w="108" w:type="dxa"/>
        <w:top w:w="0" w:type="dxa"/>
        <w:right w:w="108" w:type="dxa"/>
        <w:bottom w:w="0" w:type="dxa"/>
      </w:tblCellMar>
    </w:tblPr>
  </w:style>
  <w:style w:type="paragraph" w:styleId="951" w:customStyle="1">
    <w:name w:val="段"/>
    <w:next w:val="946"/>
    <w:uiPriority w:val="99"/>
    <w:qFormat/>
    <w:pPr>
      <w:ind w:firstLine="200"/>
      <w:jc w:val="both"/>
      <w:spacing w:line="360" w:lineRule="auto"/>
    </w:pPr>
    <w:rPr>
      <w:rFonts w:hint="default" w:ascii="宋体" w:hAnsi="Calibri" w:eastAsia="宋体" w:cs="Times New Roman"/>
      <w:sz w:val="24"/>
      <w:szCs w:val="22"/>
      <w:lang w:val="en-US" w:eastAsia="zh-CN" w:bidi="ar-SA"/>
    </w:rPr>
  </w:style>
  <w:style w:type="paragraph" w:styleId="952">
    <w:name w:val="toc 7"/>
    <w:basedOn w:val="946"/>
    <w:next w:val="946"/>
    <w:uiPriority w:val="0"/>
    <w:qFormat/>
    <w:pPr>
      <w:ind w:left="2520"/>
    </w:pPr>
  </w:style>
  <w:style w:type="paragraph" w:styleId="953">
    <w:name w:val="Normal Indent"/>
    <w:basedOn w:val="946"/>
    <w:next w:val="946"/>
    <w:link w:val="984"/>
    <w:uiPriority w:val="0"/>
    <w:qFormat/>
    <w:pPr>
      <w:ind w:firstLine="420"/>
      <w:jc w:val="left"/>
    </w:pPr>
    <w:rPr>
      <w:sz w:val="24"/>
    </w:rPr>
  </w:style>
  <w:style w:type="paragraph" w:styleId="954">
    <w:name w:val="annotation text"/>
    <w:basedOn w:val="946"/>
    <w:link w:val="985"/>
    <w:uiPriority w:val="0"/>
    <w:qFormat/>
    <w:pPr>
      <w:jc w:val="left"/>
    </w:pPr>
    <w:rPr>
      <w:rFonts w:ascii="Calibri" w:hAnsi="Calibri"/>
    </w:rPr>
  </w:style>
  <w:style w:type="paragraph" w:styleId="955">
    <w:name w:val="index 6"/>
    <w:basedOn w:val="946"/>
    <w:next w:val="946"/>
    <w:uiPriority w:val="0"/>
    <w:qFormat/>
    <w:pPr>
      <w:ind w:left="2100"/>
    </w:pPr>
    <w:rPr>
      <w:rFonts w:ascii="Calibri" w:hAnsi="Calibri"/>
    </w:rPr>
  </w:style>
  <w:style w:type="paragraph" w:styleId="956">
    <w:name w:val="Body Text"/>
    <w:basedOn w:val="946"/>
    <w:next w:val="957"/>
    <w:uiPriority w:val="0"/>
    <w:qFormat/>
    <w:pPr>
      <w:spacing w:line="400" w:lineRule="exact"/>
    </w:pPr>
    <w:rPr>
      <w:rFonts w:ascii="楷体_GB2312" w:hAnsi="Calibri"/>
      <w:sz w:val="28"/>
    </w:rPr>
  </w:style>
  <w:style w:type="paragraph" w:styleId="957" w:customStyle="1">
    <w:name w:val="一级条标题"/>
    <w:basedOn w:val="958"/>
    <w:next w:val="951"/>
    <w:uiPriority w:val="0"/>
    <w:qFormat/>
    <w:pPr>
      <w:ind w:left="420"/>
      <w:spacing w:line="240" w:lineRule="auto"/>
      <w:outlineLvl w:val="2"/>
    </w:pPr>
  </w:style>
  <w:style w:type="paragraph" w:styleId="958" w:customStyle="1">
    <w:name w:val="章标题"/>
    <w:next w:val="94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59">
    <w:name w:val="Body Text Indent"/>
    <w:basedOn w:val="946"/>
    <w:next w:val="946"/>
    <w:uiPriority w:val="99"/>
    <w:qFormat/>
    <w:pPr>
      <w:ind w:left="570"/>
      <w:spacing w:line="520" w:lineRule="exact"/>
    </w:pPr>
    <w:rPr>
      <w:rFonts w:ascii="方正仿宋简体" w:hAnsi="创艺简仿宋" w:eastAsia="方正仿宋简体"/>
      <w:sz w:val="24"/>
    </w:rPr>
  </w:style>
  <w:style w:type="paragraph" w:styleId="960">
    <w:name w:val="Footer"/>
    <w:basedOn w:val="946"/>
    <w:uiPriority w:val="99"/>
    <w:unhideWhenUsed/>
    <w:qFormat/>
    <w:pPr>
      <w:tabs>
        <w:tab w:val="center" w:pos="7143" w:leader="none"/>
        <w:tab w:val="right" w:pos="14287" w:leader="none"/>
      </w:tabs>
    </w:pPr>
  </w:style>
  <w:style w:type="paragraph" w:styleId="961">
    <w:name w:val="Header"/>
    <w:basedOn w:val="946"/>
    <w:uiPriority w:val="99"/>
    <w:unhideWhenUsed/>
    <w:qFormat/>
    <w:pPr>
      <w:tabs>
        <w:tab w:val="center" w:pos="7143" w:leader="none"/>
        <w:tab w:val="right" w:pos="14287" w:leader="none"/>
      </w:tabs>
    </w:pPr>
  </w:style>
  <w:style w:type="paragraph" w:styleId="962">
    <w:name w:val="toc 1"/>
    <w:basedOn w:val="946"/>
    <w:next w:val="946"/>
    <w:uiPriority w:val="39"/>
    <w:unhideWhenUsed/>
    <w:qFormat/>
    <w:pPr>
      <w:spacing w:after="57"/>
    </w:pPr>
  </w:style>
  <w:style w:type="paragraph" w:styleId="963">
    <w:name w:val="Normal (Web)"/>
    <w:basedOn w:val="946"/>
    <w:uiPriority w:val="0"/>
    <w:qFormat/>
    <w:pPr>
      <w:jc w:val="left"/>
      <w:spacing w:beforeAutospacing="1" w:afterAutospacing="1"/>
    </w:pPr>
    <w:rPr>
      <w:sz w:val="24"/>
    </w:rPr>
  </w:style>
  <w:style w:type="paragraph" w:styleId="964">
    <w:name w:val="Body Text First Indent 2"/>
    <w:basedOn w:val="959"/>
    <w:uiPriority w:val="99"/>
    <w:unhideWhenUsed/>
    <w:qFormat/>
    <w:pPr>
      <w:ind w:left="420" w:firstLine="420"/>
      <w:spacing w:after="120"/>
    </w:pPr>
    <w:rPr>
      <w:rFonts w:ascii="Calibri" w:hAnsi="Calibri" w:eastAsia="宋体"/>
      <w:sz w:val="21"/>
    </w:rPr>
  </w:style>
  <w:style w:type="table" w:styleId="965">
    <w:name w:val="Table Grid"/>
    <w:basedOn w:val="9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basedOn w:val="949"/>
    <w:uiPriority w:val="0"/>
    <w:qFormat/>
    <w:rPr>
      <w:b/>
    </w:rPr>
  </w:style>
  <w:style w:type="character" w:styleId="967">
    <w:name w:val="Emphasis"/>
    <w:uiPriority w:val="0"/>
    <w:qFormat/>
    <w:rPr>
      <w:i/>
    </w:rPr>
  </w:style>
  <w:style w:type="character" w:styleId="968">
    <w:name w:val="Hyperlink"/>
    <w:basedOn w:val="949"/>
    <w:uiPriority w:val="0"/>
    <w:qFormat/>
    <w:rPr>
      <w:color w:val="0026e5" w:themeColor="hyperlink"/>
      <w:u w:val="single"/>
      <w14:textFill>
        <w14:solidFill>
          <w14:schemeClr w14:val="hlink"/>
        </w14:solidFill>
      </w14:textFill>
    </w:rPr>
  </w:style>
  <w:style w:type="character" w:styleId="969">
    <w:name w:val="annotation reference"/>
    <w:uiPriority w:val="99"/>
    <w:semiHidden/>
    <w:unhideWhenUsed/>
    <w:qFormat/>
    <w:rPr>
      <w:sz w:val="21"/>
      <w:szCs w:val="21"/>
    </w:rPr>
  </w:style>
  <w:style w:type="paragraph" w:styleId="970" w:customStyle="1">
    <w:name w:val="正文缩进1"/>
    <w:basedOn w:val="946"/>
    <w:uiPriority w:val="0"/>
    <w:qFormat/>
    <w:pPr>
      <w:ind w:firstLine="420"/>
      <w:jc w:val="left"/>
    </w:pPr>
    <w:rPr>
      <w:sz w:val="24"/>
    </w:rPr>
  </w:style>
  <w:style w:type="paragraph" w:styleId="971" w:customStyle="1">
    <w:name w:val="标题 11"/>
    <w:basedOn w:val="946"/>
    <w:next w:val="946"/>
    <w:uiPriority w:val="0"/>
    <w:qFormat/>
    <w:pPr>
      <w:keepLines/>
      <w:keepNext/>
      <w:spacing w:before="340" w:after="330" w:line="578" w:lineRule="auto"/>
      <w:outlineLvl w:val="0"/>
    </w:pPr>
    <w:rPr>
      <w:b/>
      <w:sz w:val="44"/>
    </w:rPr>
  </w:style>
  <w:style w:type="paragraph" w:styleId="972" w:customStyle="1">
    <w:name w:val="页眉1"/>
    <w:basedOn w:val="946"/>
    <w:uiPriority w:val="99"/>
    <w:qFormat/>
    <w:pPr>
      <w:jc w:val="center"/>
      <w:tabs>
        <w:tab w:val="center" w:pos="4153" w:leader="none"/>
        <w:tab w:val="right" w:pos="8306" w:leader="none"/>
      </w:tabs>
      <w:pBdr>
        <w:bottom w:val="single" w:color="000000" w:sz="6" w:space="1"/>
      </w:pBdr>
    </w:pPr>
    <w:rPr>
      <w:sz w:val="18"/>
    </w:rPr>
  </w:style>
  <w:style w:type="paragraph" w:styleId="973" w:customStyle="1">
    <w:name w:val="页脚1"/>
    <w:basedOn w:val="946"/>
    <w:uiPriority w:val="99"/>
    <w:qFormat/>
    <w:pPr>
      <w:jc w:val="left"/>
      <w:tabs>
        <w:tab w:val="center" w:pos="4153" w:leader="none"/>
        <w:tab w:val="right" w:pos="8306" w:leader="none"/>
      </w:tabs>
    </w:pPr>
    <w:rPr>
      <w:sz w:val="18"/>
    </w:rPr>
  </w:style>
  <w:style w:type="paragraph" w:styleId="974" w:customStyle="1">
    <w:name w:val="首行缩进"/>
    <w:basedOn w:val="946"/>
    <w:uiPriority w:val="0"/>
    <w:qFormat/>
    <w:pPr>
      <w:ind w:firstLine="480"/>
    </w:pPr>
    <w:rPr>
      <w:lang w:val="zh-CN"/>
    </w:rPr>
  </w:style>
  <w:style w:type="paragraph" w:styleId="975" w:customStyle="1">
    <w:name w:val="Plain Text1"/>
    <w:basedOn w:val="946"/>
    <w:uiPriority w:val="0"/>
    <w:qFormat/>
    <w:rPr>
      <w:rFonts w:ascii="宋体" w:hAnsi="Courier New"/>
    </w:rPr>
  </w:style>
  <w:style w:type="paragraph" w:styleId="976" w:customStyle="1">
    <w:name w:val="纯文本111"/>
    <w:basedOn w:val="946"/>
    <w:uiPriority w:val="0"/>
    <w:qFormat/>
    <w:rPr>
      <w:rFonts w:ascii="宋体" w:hAnsi="Courier New"/>
    </w:rPr>
  </w:style>
  <w:style w:type="paragraph" w:styleId="977" w:customStyle="1">
    <w:name w:val="纯文本1"/>
    <w:basedOn w:val="946"/>
    <w:uiPriority w:val="0"/>
    <w:qFormat/>
    <w:rPr>
      <w:rFonts w:ascii="宋体" w:hAnsi="Courier New"/>
    </w:rPr>
  </w:style>
  <w:style w:type="paragraph" w:styleId="978" w:customStyle="1">
    <w:name w:val="Andy_正文"/>
    <w:basedOn w:val="946"/>
    <w:link w:val="986"/>
    <w:uiPriority w:val="0"/>
    <w:qFormat/>
    <w:pPr>
      <w:ind w:firstLine="480"/>
      <w:spacing w:line="360" w:lineRule="auto"/>
    </w:pPr>
    <w:rPr>
      <w:rFonts w:ascii="Calibri" w:hAnsi="Calibri" w:eastAsia="宋体"/>
      <w:sz w:val="24"/>
      <w:szCs w:val="24"/>
    </w:rPr>
  </w:style>
  <w:style w:type="paragraph" w:styleId="979" w:customStyle="1">
    <w:name w:val="普通(网站)1"/>
    <w:basedOn w:val="946"/>
    <w:uiPriority w:val="99"/>
    <w:qFormat/>
    <w:pPr>
      <w:jc w:val="left"/>
      <w:spacing w:before="100" w:beforeAutospacing="1" w:after="100" w:afterAutospacing="1"/>
      <w:widowControl/>
    </w:pPr>
    <w:rPr>
      <w:rFonts w:ascii="宋体" w:hAnsi="宋体" w:eastAsia="宋体" w:cs="宋体"/>
      <w:sz w:val="24"/>
      <w:szCs w:val="24"/>
    </w:rPr>
  </w:style>
  <w:style w:type="paragraph" w:styleId="980" w:customStyle="1">
    <w:name w:val="正文文本缩进1"/>
    <w:basedOn w:val="946"/>
    <w:uiPriority w:val="99"/>
    <w:qFormat/>
    <w:pPr>
      <w:ind w:left="570"/>
      <w:spacing w:line="520" w:lineRule="exact"/>
    </w:pPr>
    <w:rPr>
      <w:rFonts w:ascii="方正仿宋简体" w:hAnsi="创艺简仿宋" w:eastAsia="方正仿宋简体"/>
      <w:sz w:val="24"/>
    </w:rPr>
  </w:style>
  <w:style w:type="paragraph" w:styleId="981" w:customStyle="1">
    <w:name w:val="目录 11"/>
    <w:basedOn w:val="946"/>
    <w:next w:val="946"/>
    <w:uiPriority w:val="39"/>
    <w:qFormat/>
    <w:pPr>
      <w:jc w:val="left"/>
    </w:pPr>
    <w:rPr>
      <w:sz w:val="24"/>
    </w:rPr>
  </w:style>
  <w:style w:type="paragraph" w:styleId="982" w:customStyle="1">
    <w:name w:val="_正文段落"/>
    <w:basedOn w:val="946"/>
    <w:uiPriority w:val="0"/>
    <w:qFormat/>
    <w:pPr>
      <w:ind w:firstLine="200"/>
      <w:spacing w:line="360" w:lineRule="auto"/>
    </w:pPr>
    <w:rPr>
      <w:rFonts w:eastAsia="宋体"/>
      <w:sz w:val="24"/>
      <w:szCs w:val="24"/>
    </w:rPr>
  </w:style>
  <w:style w:type="character" w:styleId="983" w:customStyle="1">
    <w:name w:val="Unresolved Mention"/>
    <w:basedOn w:val="949"/>
    <w:uiPriority w:val="99"/>
    <w:semiHidden/>
    <w:unhideWhenUsed/>
    <w:qFormat/>
    <w:rPr>
      <w:color w:val="605e5c"/>
      <w:shd w:val="clear" w:color="auto" w:fill="e1dfdd"/>
    </w:rPr>
  </w:style>
  <w:style w:type="character" w:styleId="984" w:customStyle="1">
    <w:name w:val="正文缩进 字符"/>
    <w:link w:val="953"/>
    <w:uiPriority w:val="0"/>
    <w:qFormat/>
    <w:rPr>
      <w:rFonts w:ascii="Times New Roman" w:hAnsi="Times New Roman" w:eastAsia="楷体_GB2312" w:cs="Times New Roman"/>
      <w:sz w:val="24"/>
    </w:rPr>
  </w:style>
  <w:style w:type="character" w:styleId="985" w:customStyle="1">
    <w:name w:val="批注文字 字符"/>
    <w:basedOn w:val="949"/>
    <w:link w:val="954"/>
    <w:uiPriority w:val="0"/>
    <w:qFormat/>
    <w:rPr>
      <w:rFonts w:ascii="Calibri" w:hAnsi="Calibri" w:eastAsia="楷体_GB2312" w:cs="Times New Roman"/>
      <w:sz w:val="26"/>
    </w:rPr>
  </w:style>
  <w:style w:type="character" w:styleId="986" w:customStyle="1">
    <w:name w:val="Andy_正文 Char"/>
    <w:link w:val="978"/>
    <w:uiPriority w:val="0"/>
    <w:qFormat/>
    <w:rPr>
      <w:rFonts w:ascii="Calibri" w:hAnsi="Calibri" w:eastAsia="宋体" w:cs="Times New Roman"/>
      <w:sz w:val="24"/>
      <w:szCs w:val="24"/>
    </w:rPr>
  </w:style>
  <w:style w:type="paragraph" w:styleId="987" w:customStyle="1">
    <w:name w:val="纯文本2"/>
    <w:basedOn w:val="946"/>
    <w:uiPriority w:val="0"/>
    <w:qFormat/>
    <w:rPr>
      <w:rFonts w:ascii="宋体" w:hAnsi="Courier New" w:eastAsia="楷体_GB2312"/>
      <w:sz w:val="28"/>
      <w:szCs w:val="20"/>
    </w:rPr>
  </w:style>
  <w:style w:type="paragraph" w:styleId="988" w:customStyle="1">
    <w:name w:val="正文首行缩进 21"/>
    <w:basedOn w:val="980"/>
    <w:uiPriority w:val="0"/>
    <w:qFormat/>
    <w:pPr>
      <w:ind w:left="420" w:firstLine="420"/>
      <w:spacing w:after="120" w:line="240" w:lineRule="auto"/>
    </w:pPr>
    <w:rPr>
      <w:rFonts w:eastAsia="楷体_GB2312"/>
      <w:sz w:val="26"/>
    </w:rPr>
  </w:style>
  <w:style w:type="paragraph" w:styleId="989" w:customStyle="1">
    <w:name w:val="Table Paragraph"/>
    <w:basedOn w:val="946"/>
    <w:uiPriority w:val="1"/>
    <w:qFormat/>
    <w:rPr>
      <w:rFonts w:ascii="宋体" w:hAnsi="宋体"/>
      <w:szCs w:val="24"/>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6</cp:revision>
  <dcterms:created xsi:type="dcterms:W3CDTF">2025-03-06T06:33:00Z</dcterms:created>
  <dcterms:modified xsi:type="dcterms:W3CDTF">2026-01-14T05:27:10Z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DC447B0B4AFB453F98E6E3EE74676C90_11</vt:lpwstr>
  </property>
  <property fmtid="{D5CDD505-2E9C-101B-9397-08002B2CF9AE}" pid="4" name="KSOTemplateDocerSaveRecord">
    <vt:lpwstr>eyJoZGlkIjoiNDcyOTY2ZDg2ZWQ5ZmU4ZTI4MDIxMTM2NjJiNDA2MzYiLCJ1c2VySWQiOiIzMjk1NDQ3OTEifQ==</vt:lpwstr>
  </property>
</Properties>
</file>